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03" w:rsidRDefault="00DF177F">
      <w:pPr>
        <w:pStyle w:val="Listaszerbekezds"/>
        <w:numPr>
          <w:ilvl w:val="3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melléklet az 1/2011. (II.14.) önkormányzati rendelethez</w:t>
      </w:r>
    </w:p>
    <w:p w:rsidR="002D3503" w:rsidRDefault="00DF17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polgármesterre átruházott hatáskör</w:t>
      </w:r>
    </w:p>
    <w:p w:rsidR="002D3503" w:rsidRDefault="002D35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3503" w:rsidRDefault="00DF177F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méltányossági alapon megítélhető ápolási díj,</w:t>
      </w:r>
    </w:p>
    <w:p w:rsidR="002D3503" w:rsidRDefault="00DF177F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lakáscélú támogatás keretében nyújtott </w:t>
      </w:r>
      <w:r>
        <w:rPr>
          <w:rFonts w:ascii="Times New Roman" w:hAnsi="Times New Roman"/>
          <w:sz w:val="24"/>
          <w:szCs w:val="24"/>
        </w:rPr>
        <w:t>kamatmentes kölcsön visszafizetésére és vissza nem térítendő támogatás biztosítására bejegyzett jelzálogjog, valamint elidegenítési és terhelési tilalom iránti kérelemben való döntés</w:t>
      </w:r>
    </w:p>
    <w:p w:rsidR="002D3503" w:rsidRDefault="002D3503"/>
    <w:sectPr w:rsidR="002D350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77F" w:rsidRDefault="00DF177F">
      <w:pPr>
        <w:spacing w:after="0" w:line="240" w:lineRule="auto"/>
      </w:pPr>
      <w:r>
        <w:separator/>
      </w:r>
    </w:p>
  </w:endnote>
  <w:endnote w:type="continuationSeparator" w:id="0">
    <w:p w:rsidR="00DF177F" w:rsidRDefault="00DF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77F" w:rsidRDefault="00DF17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F177F" w:rsidRDefault="00DF1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4E22"/>
    <w:multiLevelType w:val="multilevel"/>
    <w:tmpl w:val="49B619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194ADC"/>
    <w:multiLevelType w:val="multilevel"/>
    <w:tmpl w:val="524E08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3503"/>
    <w:rsid w:val="002D3503"/>
    <w:rsid w:val="00B632A5"/>
    <w:rsid w:val="00D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dc:description/>
  <cp:lastModifiedBy> </cp:lastModifiedBy>
  <cp:revision>2</cp:revision>
  <dcterms:created xsi:type="dcterms:W3CDTF">2014-08-29T08:01:00Z</dcterms:created>
  <dcterms:modified xsi:type="dcterms:W3CDTF">2014-08-29T08:01:00Z</dcterms:modified>
</cp:coreProperties>
</file>