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B8B" w:rsidRPr="00CB0E62" w:rsidRDefault="00791B8B" w:rsidP="00CB0E62">
      <w:pPr>
        <w:widowControl w:val="0"/>
        <w:autoSpaceDE w:val="0"/>
        <w:spacing w:before="75"/>
        <w:ind w:left="6751" w:right="95" w:hanging="5410"/>
        <w:jc w:val="right"/>
        <w:rPr>
          <w:rFonts w:eastAsia="PMingLiU"/>
          <w:i/>
          <w:iCs/>
          <w:sz w:val="22"/>
          <w:szCs w:val="22"/>
        </w:rPr>
      </w:pPr>
      <w:r>
        <w:rPr>
          <w:rFonts w:eastAsia="PMingLiU"/>
          <w:i/>
          <w:iCs/>
          <w:sz w:val="22"/>
          <w:szCs w:val="22"/>
        </w:rPr>
        <w:t>3.számú függelék</w:t>
      </w:r>
    </w:p>
    <w:p w:rsidR="00791B8B" w:rsidRDefault="00791B8B" w:rsidP="00791B8B">
      <w:pPr>
        <w:widowControl w:val="0"/>
        <w:autoSpaceDE w:val="0"/>
        <w:spacing w:line="200" w:lineRule="exact"/>
        <w:rPr>
          <w:rFonts w:eastAsia="PMingLiU"/>
          <w:sz w:val="20"/>
          <w:szCs w:val="20"/>
        </w:rPr>
      </w:pPr>
    </w:p>
    <w:p w:rsidR="00791B8B" w:rsidRDefault="00791B8B" w:rsidP="00791B8B">
      <w:pPr>
        <w:widowControl w:val="0"/>
        <w:autoSpaceDE w:val="0"/>
        <w:ind w:left="117" w:right="-20"/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15"/>
        </w:rPr>
        <w:t xml:space="preserve"> </w:t>
      </w:r>
      <w:r>
        <w:rPr>
          <w:rFonts w:eastAsia="PMingLiU"/>
          <w:b/>
          <w:bCs/>
          <w:spacing w:val="-2"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zottságainak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feladat-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és hatásköre</w:t>
      </w:r>
    </w:p>
    <w:p w:rsidR="00791B8B" w:rsidRDefault="00791B8B" w:rsidP="00791B8B">
      <w:pPr>
        <w:widowControl w:val="0"/>
        <w:autoSpaceDE w:val="0"/>
        <w:spacing w:before="14" w:line="260" w:lineRule="exact"/>
        <w:rPr>
          <w:rFonts w:eastAsia="PMingLiU"/>
          <w:sz w:val="26"/>
          <w:szCs w:val="26"/>
        </w:rPr>
      </w:pPr>
    </w:p>
    <w:p w:rsidR="00791B8B" w:rsidRDefault="00791B8B" w:rsidP="00791B8B">
      <w:pPr>
        <w:widowControl w:val="0"/>
        <w:autoSpaceDE w:val="0"/>
        <w:ind w:left="117" w:right="-20"/>
        <w:rPr>
          <w:rFonts w:eastAsia="PMingLiU"/>
          <w:b/>
          <w:bCs/>
        </w:rPr>
      </w:pPr>
      <w:r>
        <w:rPr>
          <w:rFonts w:eastAsia="PMingLiU"/>
          <w:b/>
          <w:bCs/>
        </w:rPr>
        <w:t>A Vagyonnyilatkozat Nyilvántartó és Ellenőrző</w:t>
      </w:r>
      <w:r>
        <w:rPr>
          <w:rFonts w:eastAsia="PMingLiU"/>
          <w:b/>
          <w:bCs/>
          <w:spacing w:val="-17"/>
        </w:rPr>
        <w:t xml:space="preserve"> </w:t>
      </w:r>
      <w:r>
        <w:rPr>
          <w:rFonts w:eastAsia="PMingLiU"/>
          <w:b/>
          <w:bCs/>
        </w:rPr>
        <w:t>Bizottság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fela</w:t>
      </w:r>
      <w:r>
        <w:rPr>
          <w:rFonts w:eastAsia="PMingLiU"/>
          <w:b/>
          <w:bCs/>
          <w:spacing w:val="-1"/>
        </w:rPr>
        <w:t>d</w:t>
      </w:r>
      <w:r>
        <w:rPr>
          <w:rFonts w:eastAsia="PMingLiU"/>
          <w:b/>
          <w:bCs/>
        </w:rPr>
        <w:t>atköre</w:t>
      </w:r>
    </w:p>
    <w:p w:rsidR="00791B8B" w:rsidRDefault="00791B8B" w:rsidP="00791B8B">
      <w:pPr>
        <w:widowControl w:val="0"/>
        <w:autoSpaceDE w:val="0"/>
        <w:spacing w:before="14" w:line="260" w:lineRule="exact"/>
        <w:rPr>
          <w:rFonts w:eastAsia="PMingLiU"/>
          <w:sz w:val="26"/>
          <w:szCs w:val="26"/>
        </w:rPr>
      </w:pPr>
    </w:p>
    <w:p w:rsidR="00791B8B" w:rsidRDefault="00791B8B" w:rsidP="00791B8B">
      <w:pPr>
        <w:widowControl w:val="0"/>
        <w:autoSpaceDE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1.) Ellátja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összeférhetetle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ségével,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vagyonnyilatkozataival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kapcsol</w:t>
      </w:r>
      <w:r>
        <w:rPr>
          <w:rFonts w:eastAsia="PMingLiU"/>
          <w:spacing w:val="-2"/>
        </w:rPr>
        <w:t>a</w:t>
      </w:r>
      <w:r>
        <w:rPr>
          <w:rFonts w:eastAsia="PMingLiU"/>
        </w:rPr>
        <w:t>tos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nyilvántartási,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kezelési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</w:t>
      </w:r>
      <w:r>
        <w:rPr>
          <w:rFonts w:eastAsia="PMingLiU"/>
          <w:spacing w:val="-1"/>
        </w:rPr>
        <w:t>és</w:t>
      </w:r>
      <w:r>
        <w:rPr>
          <w:rFonts w:eastAsia="PMingLiU"/>
        </w:rPr>
        <w:t>i feladatokat.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2.) Titkos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lebonyolítja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szavazást.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3.) Javasl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elésére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és jut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lmazás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ra.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4.)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 xml:space="preserve">tület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elkérése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vagyon hasznosításának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zítésében.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5.) 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érése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</w:t>
      </w:r>
      <w:r>
        <w:rPr>
          <w:rFonts w:eastAsia="PMingLiU"/>
          <w:spacing w:val="1"/>
        </w:rPr>
        <w:t>n</w:t>
      </w:r>
      <w:r>
        <w:rPr>
          <w:rFonts w:eastAsia="PMingLiU"/>
        </w:rPr>
        <w:t>őrzésé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en.</w:t>
      </w:r>
    </w:p>
    <w:p w:rsidR="00791B8B" w:rsidRDefault="00791B8B" w:rsidP="00791B8B">
      <w:pPr>
        <w:widowControl w:val="0"/>
        <w:autoSpaceDE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6.). Ellátja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ladato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</w:rPr>
      </w:pPr>
      <w:r>
        <w:rPr>
          <w:rFonts w:eastAsia="PMingLiU"/>
        </w:rPr>
        <w:t>7.) Dönt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döntéshozatalból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rintett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8.) 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vál</w:t>
      </w:r>
      <w:r>
        <w:rPr>
          <w:rFonts w:eastAsia="PMingLiU"/>
          <w:spacing w:val="1"/>
        </w:rPr>
        <w:t>a</w:t>
      </w:r>
      <w:r>
        <w:rPr>
          <w:rFonts w:eastAsia="PMingLiU"/>
        </w:rPr>
        <w:t>szt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knek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 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hozzá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intézett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kérdésekre.</w:t>
      </w:r>
    </w:p>
    <w:p w:rsidR="00791B8B" w:rsidRDefault="00791B8B" w:rsidP="00791B8B">
      <w:pPr>
        <w:widowControl w:val="0"/>
        <w:autoSpaceDE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9.) A 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ülésén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őket a feladatkörébe tartozó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 kapcsán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ított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 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atról.</w:t>
      </w:r>
    </w:p>
    <w:p w:rsidR="00791B8B" w:rsidRDefault="00791B8B" w:rsidP="00791B8B">
      <w:pPr>
        <w:widowControl w:val="0"/>
        <w:autoSpaceDE w:val="0"/>
        <w:ind w:left="477" w:right="-20"/>
        <w:rPr>
          <w:rFonts w:eastAsia="PMingLiU"/>
          <w:w w:val="99"/>
        </w:rPr>
      </w:pPr>
      <w:r>
        <w:rPr>
          <w:rFonts w:eastAsia="PMingLiU"/>
        </w:rPr>
        <w:t>10.) 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feladatkörébe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tartozó,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3"/>
        </w:rPr>
        <w:t>l</w:t>
      </w:r>
      <w:r>
        <w:rPr>
          <w:rFonts w:eastAsia="PMingLiU"/>
        </w:rPr>
        <w:t>ő által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javasolt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ügy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egtárgyalás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eghívja.</w:t>
      </w:r>
    </w:p>
    <w:p w:rsidR="009C67DF" w:rsidRDefault="009C67DF" w:rsidP="00791B8B">
      <w:pPr>
        <w:widowControl w:val="0"/>
        <w:autoSpaceDE w:val="0"/>
        <w:ind w:left="477" w:right="-20"/>
        <w:rPr>
          <w:rFonts w:eastAsia="PMingLiU"/>
          <w:w w:val="99"/>
        </w:rPr>
      </w:pPr>
      <w:bookmarkStart w:id="0" w:name="_GoBack"/>
      <w:bookmarkEnd w:id="0"/>
    </w:p>
    <w:p w:rsidR="009C67DF" w:rsidRDefault="009C67DF" w:rsidP="00CB0E62">
      <w:pPr>
        <w:widowControl w:val="0"/>
        <w:autoSpaceDE w:val="0"/>
        <w:ind w:right="-20"/>
        <w:rPr>
          <w:rFonts w:eastAsia="PMingLiU"/>
          <w:w w:val="99"/>
        </w:rPr>
      </w:pPr>
    </w:p>
    <w:p w:rsidR="00A11E5B" w:rsidRPr="00A11E5B" w:rsidRDefault="00A11E5B" w:rsidP="00A11E5B">
      <w:pPr>
        <w:widowControl w:val="0"/>
        <w:suppressAutoHyphens w:val="0"/>
        <w:autoSpaceDE w:val="0"/>
        <w:autoSpaceDN w:val="0"/>
        <w:adjustRightInd w:val="0"/>
        <w:ind w:left="477" w:right="-20"/>
        <w:rPr>
          <w:lang w:eastAsia="hu-HU"/>
        </w:rPr>
      </w:pPr>
      <w:r w:rsidRPr="00A11E5B">
        <w:rPr>
          <w:rFonts w:eastAsia="PMingLiU"/>
          <w:b/>
          <w:lang w:eastAsia="hu-HU"/>
        </w:rPr>
        <w:t>A Bíráló Bizottság feladat- és hatásköre</w:t>
      </w:r>
    </w:p>
    <w:p w:rsidR="00A11E5B" w:rsidRPr="00A11E5B" w:rsidRDefault="00A11E5B" w:rsidP="00A11E5B">
      <w:pPr>
        <w:widowControl w:val="0"/>
        <w:suppressAutoHyphens w:val="0"/>
        <w:autoSpaceDE w:val="0"/>
        <w:autoSpaceDN w:val="0"/>
        <w:adjustRightInd w:val="0"/>
        <w:ind w:left="477" w:right="-20"/>
        <w:rPr>
          <w:lang w:eastAsia="hu-HU"/>
        </w:rPr>
      </w:pPr>
      <w:r w:rsidRPr="00A11E5B">
        <w:rPr>
          <w:rFonts w:eastAsia="PMingLiU"/>
          <w:b/>
          <w:lang w:eastAsia="hu-HU"/>
        </w:rPr>
        <w:t> </w:t>
      </w:r>
    </w:p>
    <w:p w:rsidR="00A11E5B" w:rsidRPr="00A11E5B" w:rsidRDefault="00A11E5B" w:rsidP="00A11E5B">
      <w:pPr>
        <w:suppressAutoHyphens w:val="0"/>
        <w:ind w:left="786" w:right="567" w:hanging="360"/>
        <w:contextualSpacing/>
        <w:jc w:val="both"/>
        <w:rPr>
          <w:lang w:eastAsia="hu-HU"/>
        </w:rPr>
      </w:pPr>
      <w:r w:rsidRPr="00A11E5B">
        <w:rPr>
          <w:lang w:eastAsia="en-US"/>
        </w:rPr>
        <w:t>1.</w:t>
      </w:r>
      <w:r w:rsidRPr="00A11E5B">
        <w:rPr>
          <w:sz w:val="14"/>
          <w:szCs w:val="14"/>
          <w:lang w:eastAsia="en-US"/>
        </w:rPr>
        <w:t xml:space="preserve">      </w:t>
      </w:r>
      <w:r w:rsidRPr="00A11E5B">
        <w:rPr>
          <w:rFonts w:eastAsia="PMingLiU"/>
          <w:lang w:eastAsia="hu-HU"/>
        </w:rPr>
        <w:t xml:space="preserve">A Bíráló Bizottság ellátja a </w:t>
      </w:r>
      <w:r w:rsidRPr="00CB0E62">
        <w:rPr>
          <w:lang w:eastAsia="en-US"/>
        </w:rPr>
        <w:t>Mátramindszent</w:t>
      </w:r>
      <w:r w:rsidRPr="00A11E5B">
        <w:rPr>
          <w:lang w:eastAsia="en-US"/>
        </w:rPr>
        <w:t xml:space="preserve"> Község Önkormányzat Képviselő-testülete által – az EFOP 1.5.3.-16-2017-00040 „Humán szolgáltatások fejlesztése Mátraterenyén és partnertelepülésein” című projekt keretei között – a településen, önkormányzati fenntartásban működtetett humán szolgáltatások területén dolgozó szakemberek számára </w:t>
      </w:r>
      <w:bookmarkStart w:id="1" w:name="_Hlk525564636"/>
      <w:r w:rsidRPr="00A11E5B">
        <w:rPr>
          <w:lang w:eastAsia="en-US"/>
        </w:rPr>
        <w:t>meghirdetésre került ösztöndíjpályázatra beérkező pályázatok elbírálásával kapcsolatos feladatokat.</w:t>
      </w:r>
    </w:p>
    <w:bookmarkEnd w:id="1"/>
    <w:p w:rsidR="00791B8B" w:rsidRPr="00CB0E62" w:rsidRDefault="00A11E5B" w:rsidP="00CB0E62">
      <w:pPr>
        <w:suppressAutoHyphens w:val="0"/>
        <w:ind w:left="786" w:right="567" w:hanging="360"/>
        <w:contextualSpacing/>
        <w:jc w:val="both"/>
        <w:rPr>
          <w:lang w:eastAsia="hu-HU"/>
        </w:rPr>
        <w:sectPr w:rsidR="00791B8B" w:rsidRPr="00CB0E62">
          <w:footnotePr>
            <w:pos w:val="beneathText"/>
          </w:footnotePr>
          <w:pgSz w:w="11920" w:h="16837"/>
          <w:pgMar w:top="1340" w:right="1300" w:bottom="960" w:left="1680" w:header="708" w:footer="708" w:gutter="0"/>
          <w:pgNumType w:start="17"/>
          <w:cols w:space="708"/>
          <w:docGrid w:linePitch="360"/>
        </w:sectPr>
      </w:pPr>
      <w:r w:rsidRPr="00A11E5B">
        <w:rPr>
          <w:lang w:eastAsia="en-US"/>
        </w:rPr>
        <w:t>2.</w:t>
      </w:r>
      <w:r w:rsidRPr="00A11E5B">
        <w:rPr>
          <w:sz w:val="14"/>
          <w:szCs w:val="14"/>
          <w:lang w:eastAsia="en-US"/>
        </w:rPr>
        <w:t xml:space="preserve">      </w:t>
      </w:r>
      <w:r w:rsidRPr="00A11E5B">
        <w:rPr>
          <w:rFonts w:eastAsia="PMingLiU"/>
          <w:lang w:eastAsia="hu-HU"/>
        </w:rPr>
        <w:t xml:space="preserve">A Bíráló Bizottság ellátja a </w:t>
      </w:r>
      <w:r w:rsidRPr="00CB0E62">
        <w:rPr>
          <w:lang w:eastAsia="en-US"/>
        </w:rPr>
        <w:t>Mátramindszent</w:t>
      </w:r>
      <w:r w:rsidRPr="00A11E5B">
        <w:rPr>
          <w:lang w:eastAsia="en-US"/>
        </w:rPr>
        <w:t xml:space="preserve"> Község Önkormányzat Képviselő-testülete által – az EFOP 1.5.3.-16-2017-00040 „Humán szolgáltatások fejlesztése Mátraterenyén és partnertelepülésein” című projekt keretei között – a 16-23 éves, középfokú és felsőfokú oktatásban résztvevő hátrányos helyzetű tanulók, fiatalok számára meghirdetésre került ösztöndíjpályázatra beérkező pályázatok elbírálásával kapcsolatos feladatoka</w:t>
      </w:r>
      <w:r w:rsidR="00CB0E62" w:rsidRPr="00CB0E62">
        <w:rPr>
          <w:lang w:eastAsia="en-US"/>
        </w:rPr>
        <w:t>t.</w:t>
      </w: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B"/>
    <w:rsid w:val="00234514"/>
    <w:rsid w:val="002E25A5"/>
    <w:rsid w:val="00775BBE"/>
    <w:rsid w:val="00791B8B"/>
    <w:rsid w:val="007D7B54"/>
    <w:rsid w:val="009C2600"/>
    <w:rsid w:val="009C67DF"/>
    <w:rsid w:val="00A11E5B"/>
    <w:rsid w:val="00C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09F5"/>
  <w15:docId w15:val="{5AD41F3B-81FB-465C-8B6F-0900B6A9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1B8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DA93-5256-41F7-9794-7A05C280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Igazgatás Mindszent</cp:lastModifiedBy>
  <cp:revision>2</cp:revision>
  <cp:lastPrinted>2018-09-26T07:47:00Z</cp:lastPrinted>
  <dcterms:created xsi:type="dcterms:W3CDTF">2018-09-26T07:48:00Z</dcterms:created>
  <dcterms:modified xsi:type="dcterms:W3CDTF">2018-09-26T07:48:00Z</dcterms:modified>
</cp:coreProperties>
</file>