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iCs/>
          <w:sz w:val="22"/>
          <w:szCs w:val="22"/>
        </w:rPr>
        <w:t xml:space="preserve">1. melléklet az 1/2019. (I. </w:t>
      </w:r>
      <w:r>
        <w:rPr>
          <w:iCs/>
          <w:sz w:val="22"/>
          <w:szCs w:val="22"/>
        </w:rPr>
        <w:t>23</w:t>
      </w:r>
      <w:r>
        <w:rPr>
          <w:iCs/>
          <w:sz w:val="22"/>
          <w:szCs w:val="22"/>
        </w:rPr>
        <w:t>.) önkormányzati rendelethez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Z</w:t>
      </w:r>
      <w:r>
        <w:rPr>
          <w:b/>
          <w:bCs/>
        </w:rPr>
        <w:t>EMPLÉNAGÁRD</w:t>
      </w:r>
      <w:r>
        <w:rPr>
          <w:b/>
          <w:bCs/>
        </w:rPr>
        <w:t xml:space="preserve"> KÖZSÉG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településfejlesztési koncepciójával, integrált településfejlesztési stratégiájával és a településrendezési eszközök, valamint településképi arculati kézikönyv és településképi rendelet</w:t>
      </w:r>
      <w:r>
        <w:rPr>
          <w:b/>
          <w:bCs/>
          <w:u w:val="none"/>
        </w:rPr>
        <w:t xml:space="preserve"> készítésével, m</w:t>
      </w:r>
      <w:r>
        <w:rPr>
          <w:b/>
          <w:bCs/>
        </w:rPr>
        <w:t>ódosításával összefüggő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PARTNERSÉGI EGYEZTETÉS SZABÁLYAIRÓL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2"/>
        </w:numPr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A partnerségi egyeztetésben résztvevők (a továbbiakban: partnerek) köre:</w:t>
      </w:r>
    </w:p>
    <w:p>
      <w:pPr>
        <w:pStyle w:val="ListParagraph"/>
        <w:ind w:left="1080" w:hanging="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1"/>
        </w:numPr>
        <w:spacing w:before="0" w:after="0"/>
        <w:ind w:left="720" w:hanging="294"/>
        <w:jc w:val="both"/>
        <w:rPr/>
      </w:pPr>
      <w:r>
        <w:rPr/>
        <w:t xml:space="preserve">A település teljes lakossága, </w:t>
      </w:r>
    </w:p>
    <w:p>
      <w:pPr>
        <w:pStyle w:val="Normal"/>
        <w:numPr>
          <w:ilvl w:val="0"/>
          <w:numId w:val="1"/>
        </w:numPr>
        <w:spacing w:before="0" w:after="0"/>
        <w:ind w:left="720" w:hanging="294"/>
        <w:jc w:val="both"/>
        <w:rPr/>
      </w:pPr>
      <w:r>
        <w:rPr/>
        <w:t>a településen működő érdekképviseleti szervezetek,</w:t>
      </w:r>
    </w:p>
    <w:p>
      <w:pPr>
        <w:pStyle w:val="Normal"/>
        <w:numPr>
          <w:ilvl w:val="0"/>
          <w:numId w:val="1"/>
        </w:numPr>
        <w:spacing w:before="0" w:after="0"/>
        <w:ind w:left="720" w:hanging="294"/>
        <w:jc w:val="both"/>
        <w:rPr/>
      </w:pPr>
      <w:r>
        <w:rPr/>
        <w:t>a településen működő civil szervezetek,</w:t>
      </w:r>
    </w:p>
    <w:p>
      <w:pPr>
        <w:pStyle w:val="Normal"/>
        <w:numPr>
          <w:ilvl w:val="0"/>
          <w:numId w:val="1"/>
        </w:numPr>
        <w:spacing w:before="0" w:after="0"/>
        <w:ind w:left="720" w:hanging="294"/>
        <w:jc w:val="both"/>
        <w:rPr/>
      </w:pPr>
      <w:r>
        <w:rPr/>
        <w:t>a településen bejelentett székhelyű és településen székhellyel, telephellyel rendelkező gazdálkodó szervezetek,</w:t>
      </w:r>
    </w:p>
    <w:p>
      <w:pPr>
        <w:pStyle w:val="Normal"/>
        <w:numPr>
          <w:ilvl w:val="0"/>
          <w:numId w:val="1"/>
        </w:numPr>
        <w:ind w:left="720" w:hanging="294"/>
        <w:jc w:val="both"/>
        <w:rPr/>
      </w:pPr>
      <w:r>
        <w:rPr/>
        <w:t>a településen működő vallási közösségek.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2"/>
        </w:numPr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A konkrét partnerek meghatározásának módja:</w:t>
      </w:r>
    </w:p>
    <w:p>
      <w:pPr>
        <w:pStyle w:val="ListParagraph"/>
        <w:ind w:left="1080" w:hanging="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/>
        <w:t xml:space="preserve">1. Magyarország helyi önkormányzatairól szóló 2011. évi CLXXXIX. törvény 41. § (4) bekezdése alapján az I. pont szerinti partnerek kiválasztását – a Képviselő-testülettől átruházott jogkör alapján </w:t>
      </w:r>
      <w:r>
        <w:rPr>
          <w:color w:val="FF0000"/>
        </w:rPr>
        <w:t xml:space="preserve">– </w:t>
      </w:r>
      <w:r>
        <w:rPr/>
        <w:t>a testület által megbízott főépítésszel történő előzetes egyeztetés alapján, az adottságok és a feladat jellegéhez igazítottan esetenként kell meghatároznia a település polgármesterének. A polgármester által meghatározott Partnerek körét írásban kell rögzíteni.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2. A település </w:t>
      </w:r>
      <w:r>
        <w:rPr>
          <w:b w:val="false"/>
          <w:bCs w:val="false"/>
        </w:rPr>
        <w:t xml:space="preserve">teljes közigazgatási területére készülő </w:t>
      </w:r>
    </w:p>
    <w:p>
      <w:pPr>
        <w:pStyle w:val="Normal"/>
        <w:numPr>
          <w:ilvl w:val="0"/>
          <w:numId w:val="2"/>
        </w:numPr>
        <w:spacing w:before="0" w:after="0"/>
        <w:ind w:left="1134" w:hanging="425"/>
        <w:jc w:val="both"/>
        <w:rPr/>
      </w:pPr>
      <w:r>
        <w:rPr>
          <w:b w:val="false"/>
          <w:bCs w:val="false"/>
        </w:rPr>
        <w:t>településfejle</w:t>
      </w:r>
      <w:r>
        <w:rPr/>
        <w:t xml:space="preserve">sztési koncepció, </w:t>
      </w:r>
    </w:p>
    <w:p>
      <w:pPr>
        <w:pStyle w:val="Normal"/>
        <w:numPr>
          <w:ilvl w:val="0"/>
          <w:numId w:val="2"/>
        </w:numPr>
        <w:spacing w:before="0" w:after="0"/>
        <w:ind w:left="1134" w:hanging="425"/>
        <w:jc w:val="both"/>
        <w:rPr/>
      </w:pPr>
      <w:r>
        <w:rPr/>
        <w:t>integrált településfejlesztési stratégia,</w:t>
      </w:r>
    </w:p>
    <w:p>
      <w:pPr>
        <w:pStyle w:val="Normal"/>
        <w:numPr>
          <w:ilvl w:val="0"/>
          <w:numId w:val="2"/>
        </w:numPr>
        <w:spacing w:before="0" w:after="0"/>
        <w:ind w:left="1134" w:hanging="425"/>
        <w:jc w:val="both"/>
        <w:rPr/>
      </w:pPr>
      <w:r>
        <w:rPr/>
        <w:t xml:space="preserve">településrendezési eszközök, </w:t>
      </w:r>
    </w:p>
    <w:p>
      <w:pPr>
        <w:pStyle w:val="Normal"/>
        <w:numPr>
          <w:ilvl w:val="0"/>
          <w:numId w:val="2"/>
        </w:numPr>
        <w:spacing w:before="0" w:after="0"/>
        <w:ind w:left="1134" w:hanging="425"/>
        <w:jc w:val="both"/>
        <w:rPr/>
      </w:pPr>
      <w:r>
        <w:rPr/>
        <w:t>településképi arculati kézikönyv,</w:t>
      </w:r>
    </w:p>
    <w:p>
      <w:pPr>
        <w:pStyle w:val="Normal"/>
        <w:numPr>
          <w:ilvl w:val="0"/>
          <w:numId w:val="2"/>
        </w:numPr>
        <w:ind w:left="1134" w:hanging="425"/>
        <w:jc w:val="both"/>
        <w:rPr/>
      </w:pPr>
      <w:r>
        <w:rPr/>
        <w:t>településképi rendelet,</w:t>
      </w:r>
    </w:p>
    <w:p>
      <w:pPr>
        <w:pStyle w:val="Normal"/>
        <w:ind w:firstLine="709"/>
        <w:jc w:val="both"/>
        <w:rPr/>
      </w:pPr>
      <w:r>
        <w:rPr/>
        <w:t>(továbbiakban együttesen: fejlesztéseket megalapozó dokumentumok)</w:t>
      </w:r>
    </w:p>
    <w:p>
      <w:pPr>
        <w:pStyle w:val="Normal"/>
        <w:ind w:left="709" w:hanging="0"/>
        <w:jc w:val="both"/>
        <w:rPr/>
      </w:pPr>
      <w:r>
        <w:rPr>
          <w:b/>
        </w:rPr>
        <w:t>készítése esetén az I. pont szerinti partnernek köre nem szűkíthető</w:t>
      </w:r>
      <w:r>
        <w:rPr/>
        <w:t xml:space="preserve">, ekkor az előző 1. pont szerinti eseti meghatározásnak nincs helye. Erre csak a fejlesztéseket megalapozó dokumentumok módosítása esetén van lehetőség. </w:t>
      </w:r>
    </w:p>
    <w:p>
      <w:pPr>
        <w:pStyle w:val="Normal"/>
        <w:ind w:left="709" w:hanging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3"/>
        </w:numPr>
        <w:ind w:left="426" w:hanging="426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A Partnerek tájékoztatásának módja, a véleményezés szakaszai és eszközei: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1.</w:t>
        <w:tab/>
        <w:t>A véleményezés szakaszai:</w:t>
      </w:r>
    </w:p>
    <w:p>
      <w:pPr>
        <w:pStyle w:val="Normal"/>
        <w:ind w:left="709" w:hanging="0"/>
        <w:jc w:val="both"/>
        <w:rPr>
          <w:bCs/>
        </w:rPr>
      </w:pPr>
      <w:r>
        <w:rPr>
          <w:bCs/>
        </w:rPr>
        <w:t>1.1.</w:t>
        <w:tab/>
        <w:t>társadalmi bevonási szakasz, előzetes véleményezés,</w:t>
      </w:r>
    </w:p>
    <w:p>
      <w:pPr>
        <w:pStyle w:val="Normal"/>
        <w:numPr>
          <w:ilvl w:val="1"/>
          <w:numId w:val="6"/>
        </w:numPr>
        <w:ind w:left="1418" w:hanging="709"/>
        <w:jc w:val="both"/>
        <w:rPr>
          <w:bCs/>
        </w:rPr>
      </w:pPr>
      <w:r>
        <w:rPr>
          <w:bCs/>
        </w:rPr>
        <w:t>társadalmi véleményezési szakasz, az elkészült dokumentum véleményezése.</w:t>
      </w:r>
    </w:p>
    <w:p>
      <w:pPr>
        <w:pStyle w:val="Normal"/>
        <w:ind w:left="1418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left" w:pos="709" w:leader="none"/>
        </w:tabs>
        <w:ind w:left="426" w:hanging="0"/>
        <w:jc w:val="both"/>
        <w:rPr>
          <w:b/>
          <w:b/>
          <w:bCs/>
        </w:rPr>
      </w:pPr>
      <w:r>
        <w:rPr>
          <w:b/>
          <w:bCs/>
        </w:rPr>
        <w:t>2.</w:t>
        <w:tab/>
        <w:t>A tájékoztatás típusai:</w:t>
      </w:r>
    </w:p>
    <w:p>
      <w:pPr>
        <w:pStyle w:val="Normal"/>
        <w:ind w:left="1416" w:hanging="696"/>
        <w:jc w:val="both"/>
        <w:rPr>
          <w:bCs/>
        </w:rPr>
      </w:pPr>
      <w:r>
        <w:rPr>
          <w:bCs/>
        </w:rPr>
        <w:t>2.1.</w:t>
        <w:tab/>
      </w:r>
      <w:r>
        <w:rPr>
          <w:bCs/>
          <w:u w:val="single"/>
        </w:rPr>
        <w:t>előzetes tájékoztató,</w:t>
      </w:r>
      <w:r>
        <w:rPr>
          <w:bCs/>
        </w:rPr>
        <w:t xml:space="preserve"> mely a készítendő egyes fejlesztésekhez kapcsolódó előzetes véleményezését (tervkészítési javaslat tétel) alapozza meg a </w:t>
      </w:r>
      <w:r>
        <w:rPr>
          <w:bCs/>
          <w:u w:val="single"/>
        </w:rPr>
        <w:t>társadalmi bevonási szakasz keretében.</w:t>
      </w:r>
    </w:p>
    <w:p>
      <w:pPr>
        <w:pStyle w:val="Normal"/>
        <w:numPr>
          <w:ilvl w:val="1"/>
          <w:numId w:val="5"/>
        </w:numPr>
        <w:jc w:val="both"/>
        <w:rPr>
          <w:bCs/>
          <w:u w:val="single"/>
        </w:rPr>
      </w:pPr>
      <w:r>
        <w:rPr>
          <w:bCs/>
          <w:u w:val="single"/>
        </w:rPr>
        <w:t>munkaközi tájékoztató</w:t>
      </w:r>
      <w:r>
        <w:rPr>
          <w:bCs/>
        </w:rPr>
        <w:t xml:space="preserve"> mely az elkészült, az egyes fejlesztést megalapozó dokumentumok véleményezést alapozza meg </w:t>
      </w:r>
      <w:r>
        <w:rPr>
          <w:bCs/>
          <w:u w:val="single"/>
        </w:rPr>
        <w:t>a társadalmi véleményezési szakasz keretében.</w:t>
      </w:r>
    </w:p>
    <w:p>
      <w:pPr>
        <w:pStyle w:val="Normal"/>
        <w:ind w:left="1440" w:hanging="0"/>
        <w:jc w:val="both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jc w:val="both"/>
        <w:rPr/>
      </w:pPr>
      <w:r>
        <w:rPr>
          <w:b/>
          <w:bCs/>
        </w:rPr>
        <w:t>3.</w:t>
        <w:tab/>
        <w:t xml:space="preserve">Az előzetes és a munkaközi tájékoztatás megindítása és a véleményezés lehetőségei: </w:t>
      </w:r>
    </w:p>
    <w:p>
      <w:pPr>
        <w:pStyle w:val="Normal"/>
        <w:ind w:left="1418" w:hanging="709"/>
        <w:jc w:val="both"/>
        <w:rPr/>
      </w:pPr>
      <w:r>
        <w:rPr/>
        <w:t>3.1.</w:t>
        <w:tab/>
        <w:t xml:space="preserve">az Önkormányzat hivatalos közterületi hirdető felületein, az Polgármesteri Hivatal hirdetőtábláján elhelyezendő hirdetmény kifüggesztésével, </w:t>
      </w:r>
    </w:p>
    <w:p>
      <w:pPr>
        <w:pStyle w:val="Normal"/>
        <w:ind w:left="1414" w:hanging="705"/>
        <w:jc w:val="both"/>
        <w:rPr/>
      </w:pPr>
      <w:r>
        <w:rPr/>
        <w:t>3.2.</w:t>
        <w:tab/>
        <w:t>az Önkormányzat hivatalos honlapján tájékoztató anyag megjelentetésével,</w:t>
      </w:r>
    </w:p>
    <w:p>
      <w:pPr>
        <w:pStyle w:val="Normal"/>
        <w:ind w:left="709" w:hanging="0"/>
        <w:jc w:val="both"/>
        <w:rPr/>
      </w:pPr>
      <w:r>
        <w:rPr/>
        <w:t>3.3.</w:t>
        <w:tab/>
        <w:t>egy helyi lapban közzétéve,</w:t>
      </w:r>
    </w:p>
    <w:p>
      <w:pPr>
        <w:pStyle w:val="Normal"/>
        <w:ind w:left="709" w:hanging="0"/>
        <w:jc w:val="both"/>
        <w:rPr/>
      </w:pPr>
      <w:r>
        <w:rPr/>
        <w:t>3.4.</w:t>
        <w:tab/>
        <w:t>lakossági fórum keretében.</w:t>
      </w:r>
    </w:p>
    <w:p>
      <w:pPr>
        <w:pStyle w:val="Normal"/>
        <w:ind w:left="709" w:hanging="0"/>
        <w:jc w:val="both"/>
        <w:rPr/>
      </w:pPr>
      <w:r>
        <w:rPr/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4.</w:t>
        <w:tab/>
        <w:t>A tájékoztatás különös szabályai:</w:t>
      </w:r>
    </w:p>
    <w:p>
      <w:pPr>
        <w:pStyle w:val="Normal"/>
        <w:ind w:left="1414" w:hanging="705"/>
        <w:jc w:val="both"/>
        <w:rPr/>
      </w:pPr>
      <w:r>
        <w:rPr/>
        <w:t>4.1.</w:t>
        <w:tab/>
        <w:t>A Partnerek, valamint akik a tájékoztatás során</w:t>
      </w:r>
      <w:r>
        <w:rPr>
          <w:i/>
          <w:iCs/>
        </w:rPr>
        <w:t xml:space="preserve"> </w:t>
      </w:r>
      <w:r>
        <w:rPr/>
        <w:t xml:space="preserve">jelzik kérésüket, </w:t>
      </w:r>
      <w:r>
        <w:rPr>
          <w:bCs/>
        </w:rPr>
        <w:t>elektronikus úton</w:t>
      </w:r>
      <w:r>
        <w:rPr>
          <w:b/>
          <w:bCs/>
        </w:rPr>
        <w:t xml:space="preserve"> </w:t>
      </w:r>
      <w:r>
        <w:rPr/>
        <w:t xml:space="preserve">(e-mailben) is értesítést kapnak a hirdetményekről, a véleményezhető fejlesztést megalapozó dokumentumról. </w:t>
      </w:r>
    </w:p>
    <w:p>
      <w:pPr>
        <w:pStyle w:val="Normal"/>
        <w:ind w:left="1414" w:hanging="705"/>
        <w:jc w:val="both"/>
        <w:rPr/>
      </w:pPr>
      <w:r>
        <w:rPr/>
        <w:t>4.2.</w:t>
        <w:tab/>
        <w:t xml:space="preserve">A közterületen elhelyezett hirdetőfelületre, a hirdetőtáblára kifüggesztett hirdetmény, valamint a honlapon történő felhívás tartalmazza a partnerségi véleményadásra rendelkezésre álló időtartamot. </w:t>
      </w:r>
    </w:p>
    <w:p>
      <w:pPr>
        <w:pStyle w:val="Normal"/>
        <w:ind w:left="1414" w:hanging="705"/>
        <w:jc w:val="both"/>
        <w:rPr/>
      </w:pPr>
      <w:r>
        <w:rPr/>
        <w:t>4.3.</w:t>
        <w:tab/>
        <w:t>Amennyiben közterületen elhelyezett hirdetőfelületen vagy a hirdetőtáblán történő elhelyezést az anyag terjedelme, formátuma nem teszi lehetővé, úgy a hirdetményben meg jelölésre kerül, hogy mely időpontokban és hol van lehetőség a dokumentumokba történő betekintésre.</w:t>
      </w:r>
    </w:p>
    <w:p>
      <w:pPr>
        <w:pStyle w:val="Normal"/>
        <w:ind w:left="567" w:hanging="567"/>
        <w:jc w:val="both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ind w:left="851" w:hanging="425"/>
        <w:jc w:val="both"/>
        <w:rPr>
          <w:b/>
          <w:b/>
        </w:rPr>
      </w:pPr>
      <w:r>
        <w:rPr>
          <w:b/>
        </w:rPr>
        <w:t xml:space="preserve"> </w:t>
      </w:r>
      <w:r>
        <w:rPr>
          <w:b/>
        </w:rPr>
        <w:t>5.</w:t>
        <w:tab/>
        <w:t>A településrendezési eszközök egyeztetési eljárásának típusai a 314/2016. (XI.8.) Korm. Rendelet 32. § (1) bekezdésben meghatározottak alapján:</w:t>
      </w:r>
    </w:p>
    <w:p>
      <w:pPr>
        <w:pStyle w:val="Normal"/>
        <w:numPr>
          <w:ilvl w:val="0"/>
          <w:numId w:val="4"/>
        </w:numPr>
        <w:spacing w:before="0" w:after="0"/>
        <w:ind w:left="851" w:hanging="0"/>
        <w:jc w:val="both"/>
        <w:rPr/>
      </w:pPr>
      <w:r>
        <w:rPr/>
        <w:t>teljes,</w:t>
      </w:r>
    </w:p>
    <w:p>
      <w:pPr>
        <w:pStyle w:val="Normal"/>
        <w:numPr>
          <w:ilvl w:val="0"/>
          <w:numId w:val="4"/>
        </w:numPr>
        <w:spacing w:before="0" w:after="0"/>
        <w:ind w:left="851" w:hanging="0"/>
        <w:jc w:val="both"/>
        <w:rPr/>
      </w:pPr>
      <w:r>
        <w:rPr/>
        <w:t xml:space="preserve">egyszerűsített, </w:t>
      </w:r>
    </w:p>
    <w:p>
      <w:pPr>
        <w:pStyle w:val="Normal"/>
        <w:numPr>
          <w:ilvl w:val="0"/>
          <w:numId w:val="4"/>
        </w:numPr>
        <w:spacing w:before="0" w:after="0"/>
        <w:ind w:left="851" w:hanging="0"/>
        <w:jc w:val="both"/>
        <w:rPr/>
      </w:pPr>
      <w:r>
        <w:rPr/>
        <w:t>tárgyalásos,</w:t>
      </w:r>
    </w:p>
    <w:p>
      <w:pPr>
        <w:pStyle w:val="Normal"/>
        <w:numPr>
          <w:ilvl w:val="0"/>
          <w:numId w:val="4"/>
        </w:numPr>
        <w:ind w:left="851" w:hanging="0"/>
        <w:jc w:val="both"/>
        <w:rPr/>
      </w:pPr>
      <w:r>
        <w:rPr/>
        <w:t>állami főépítészi</w:t>
      </w:r>
    </w:p>
    <w:p>
      <w:pPr>
        <w:pStyle w:val="Normal"/>
        <w:ind w:left="851" w:hanging="0"/>
        <w:jc w:val="both"/>
        <w:rPr/>
      </w:pPr>
      <w:r>
        <w:rPr/>
        <w:t xml:space="preserve">eljárás. </w:t>
      </w:r>
    </w:p>
    <w:p>
      <w:pPr>
        <w:pStyle w:val="Normal"/>
        <w:ind w:left="851" w:hanging="0"/>
        <w:jc w:val="both"/>
        <w:rPr/>
      </w:pPr>
      <w:r>
        <w:rPr/>
        <w:t>A tájékoztatás formája az eljárási típusokhoz igazodóan kerülnek meghatározásra.</w:t>
      </w:r>
    </w:p>
    <w:p>
      <w:pPr>
        <w:pStyle w:val="Normal"/>
        <w:ind w:left="851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left="708" w:hanging="360"/>
        <w:jc w:val="both"/>
        <w:rPr/>
      </w:pPr>
      <w:r>
        <w:rPr>
          <w:b/>
        </w:rPr>
        <w:t>A tájékoztatás formáit a véleményezés lehetőségeit a</w:t>
      </w:r>
      <w:r>
        <w:rPr/>
        <w:t>z egyes bevonási szakaszok és tervfajták megkülönböztetésével a következő táblázatok tartalmazzák.</w:t>
      </w:r>
    </w:p>
    <w:p>
      <w:pPr>
        <w:pStyle w:val="Normal"/>
        <w:ind w:left="360" w:hanging="0"/>
        <w:jc w:val="both"/>
        <w:rPr>
          <w:strike/>
        </w:rPr>
      </w:pPr>
      <w:r>
        <w:rPr>
          <w:strike/>
        </w:rPr>
      </w:r>
    </w:p>
    <w:p>
      <w:pPr>
        <w:pStyle w:val="Normal"/>
        <w:numPr>
          <w:ilvl w:val="1"/>
          <w:numId w:val="11"/>
        </w:numPr>
        <w:rPr>
          <w:b/>
          <w:b/>
        </w:rPr>
      </w:pPr>
      <w:r>
        <w:rPr>
          <w:b/>
        </w:rPr>
        <w:t>TELEPÜLÉSKÉPI ARCULATI KÉZIKÖNYV, TELEPÜLÉSKÉPI RENDELET</w:t>
      </w:r>
    </w:p>
    <w:p>
      <w:pPr>
        <w:pStyle w:val="Normal"/>
        <w:ind w:left="284" w:hanging="0"/>
        <w:rPr>
          <w:b/>
          <w:b/>
        </w:rPr>
      </w:pPr>
      <w:r>
        <w:rPr>
          <w:b/>
        </w:rPr>
      </w:r>
    </w:p>
    <w:tbl>
      <w:tblPr>
        <w:tblW w:w="8896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8"/>
        <w:gridCol w:w="1815"/>
        <w:gridCol w:w="1100"/>
        <w:gridCol w:w="1727"/>
        <w:gridCol w:w="2"/>
        <w:gridCol w:w="1"/>
        <w:gridCol w:w="1562"/>
        <w:gridCol w:w="1730"/>
      </w:tblGrid>
      <w:tr>
        <w:trPr/>
        <w:tc>
          <w:tcPr>
            <w:tcW w:w="88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TELEPÜLÉSKÉPI ARCULATI KÉZIKÖNYV, TELEPÜLÉSKÉPI RENDELET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7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Véleményezés szakaszai</w:t>
            </w:r>
          </w:p>
        </w:tc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bevonási</w:t>
            </w:r>
          </w:p>
        </w:tc>
        <w:tc>
          <w:tcPr>
            <w:tcW w:w="3295" w:type="dxa"/>
            <w:gridSpan w:val="4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77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27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Előzetes tájékoztatás</w:t>
            </w:r>
          </w:p>
        </w:tc>
        <w:tc>
          <w:tcPr>
            <w:tcW w:w="3295" w:type="dxa"/>
            <w:gridSpan w:val="4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>
          <w:trHeight w:val="467" w:hRule="atLeast"/>
        </w:trPr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Megjelenítés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Hirdetőfelület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9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Lakossági 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Fórum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</w:tbl>
    <w:p>
      <w:pPr>
        <w:pStyle w:val="Normal"/>
        <w:numPr>
          <w:ilvl w:val="1"/>
          <w:numId w:val="11"/>
        </w:numPr>
        <w:spacing w:lineRule="auto" w:line="276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11"/>
        </w:numPr>
        <w:spacing w:lineRule="auto" w:line="276" w:before="0" w:after="200"/>
        <w:jc w:val="center"/>
        <w:rPr>
          <w:b/>
          <w:b/>
        </w:rPr>
      </w:pPr>
      <w:r>
        <w:rPr>
          <w:b/>
        </w:rPr>
        <w:t>TELEPÜLÉSFEJLESZTÉSI KONCEPCIÓ, INTEGRÁLT TELEPÜLÉSFEJLESZTÉSI STRATÉGIA</w:t>
      </w:r>
    </w:p>
    <w:tbl>
      <w:tblPr>
        <w:tblW w:w="8897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5"/>
        <w:gridCol w:w="1814"/>
        <w:gridCol w:w="1170"/>
        <w:gridCol w:w="1730"/>
        <w:gridCol w:w="1"/>
        <w:gridCol w:w="1598"/>
        <w:gridCol w:w="1728"/>
      </w:tblGrid>
      <w:tr>
        <w:trPr/>
        <w:tc>
          <w:tcPr>
            <w:tcW w:w="889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TELEPÜLÉSFEJLESZTÉSI KONCEPCIÓ, INTEGRÁLT TELEPÜLÉSFEJLESZTÉSI STRATÉGIA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6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Véleményezés szakaszai</w:t>
            </w:r>
          </w:p>
        </w:tc>
        <w:tc>
          <w:tcPr>
            <w:tcW w:w="2900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bevonási</w:t>
            </w:r>
          </w:p>
        </w:tc>
        <w:tc>
          <w:tcPr>
            <w:tcW w:w="3327" w:type="dxa"/>
            <w:gridSpan w:val="3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6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900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Előzetes tájékoztatás</w:t>
            </w:r>
          </w:p>
        </w:tc>
        <w:tc>
          <w:tcPr>
            <w:tcW w:w="3327" w:type="dxa"/>
            <w:gridSpan w:val="3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Meg-jelenítés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Hirdetőfelület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Lakossági Fórum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11"/>
        </w:numPr>
        <w:spacing w:lineRule="auto" w:line="276" w:before="0" w:after="200"/>
        <w:rPr>
          <w:b/>
          <w:b/>
        </w:rPr>
      </w:pPr>
      <w:r>
        <w:rPr>
          <w:b/>
        </w:rPr>
        <w:t>TELEPÜLÉSRENDEZÉSI ESZKÖZ – TELJES ELJÁRÁS</w:t>
      </w:r>
    </w:p>
    <w:tbl>
      <w:tblPr>
        <w:tblW w:w="889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9"/>
        <w:gridCol w:w="1709"/>
        <w:gridCol w:w="1231"/>
        <w:gridCol w:w="1728"/>
        <w:gridCol w:w="1"/>
        <w:gridCol w:w="1598"/>
        <w:gridCol w:w="1728"/>
      </w:tblGrid>
      <w:tr>
        <w:trPr/>
        <w:tc>
          <w:tcPr>
            <w:tcW w:w="889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TELEPÜLÉSRENDEZÉSI ESZKÖZ – TELJES ELJÁRÁS</w:t>
            </w:r>
            <w:bookmarkStart w:id="0" w:name="_GoBack"/>
            <w:bookmarkEnd w:id="0"/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60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Véleményezés szakaszai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bevonási</w:t>
            </w:r>
          </w:p>
        </w:tc>
        <w:tc>
          <w:tcPr>
            <w:tcW w:w="3327" w:type="dxa"/>
            <w:gridSpan w:val="3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608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959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Előzetes tájékoztatás</w:t>
            </w:r>
          </w:p>
        </w:tc>
        <w:tc>
          <w:tcPr>
            <w:tcW w:w="3327" w:type="dxa"/>
            <w:gridSpan w:val="3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6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/>
        <w:tc>
          <w:tcPr>
            <w:tcW w:w="8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Megjelenítés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Hirdetőfelület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8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Lakossági Fórum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</w:tr>
    </w:tbl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1"/>
          <w:numId w:val="11"/>
        </w:numPr>
        <w:jc w:val="center"/>
        <w:rPr>
          <w:b/>
          <w:b/>
        </w:rPr>
      </w:pPr>
      <w:r>
        <w:rPr>
          <w:b/>
        </w:rPr>
        <w:t>TELEPÜLÉSRENDEZÉSI ESZKÖZ MÓDOSÍTÁSA – EGYSZERŰSÍTETT ELJÁRÁS</w:t>
      </w:r>
    </w:p>
    <w:p>
      <w:pPr>
        <w:pStyle w:val="Normal"/>
        <w:ind w:left="720" w:hanging="0"/>
        <w:rPr>
          <w:b/>
          <w:b/>
        </w:rPr>
      </w:pPr>
      <w:r>
        <w:rPr>
          <w:b/>
        </w:rPr>
      </w:r>
    </w:p>
    <w:tbl>
      <w:tblPr>
        <w:tblW w:w="8896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0"/>
        <w:gridCol w:w="1656"/>
        <w:gridCol w:w="1331"/>
        <w:gridCol w:w="1485"/>
        <w:gridCol w:w="2"/>
        <w:gridCol w:w="1539"/>
        <w:gridCol w:w="1982"/>
      </w:tblGrid>
      <w:tr>
        <w:trPr/>
        <w:tc>
          <w:tcPr>
            <w:tcW w:w="88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TELEPÜLÉSRENDEZÉSI ESZKÖZ MÓDOSÍTÁSA –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EGYSZERŰSÍTETT ELJÁRÁS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Véleményezés szakaszai</w:t>
            </w:r>
          </w:p>
        </w:tc>
        <w:tc>
          <w:tcPr>
            <w:tcW w:w="2818" w:type="dxa"/>
            <w:gridSpan w:val="3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562610</wp:posOffset>
                      </wp:positionV>
                      <wp:extent cx="1378585" cy="437515"/>
                      <wp:effectExtent l="0" t="0" r="0" b="0"/>
                      <wp:wrapNone/>
                      <wp:docPr id="1" name="Egyenes összekötő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8080" cy="266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05pt,34.3pt" to="104.4pt,55.25pt" ID="Egyenes összekötő 11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562610</wp:posOffset>
                      </wp:positionV>
                      <wp:extent cx="1378585" cy="437515"/>
                      <wp:effectExtent l="0" t="0" r="0" b="0"/>
                      <wp:wrapNone/>
                      <wp:docPr id="2" name="Egyenes összekötő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8080" cy="266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05pt,34.3pt" to="104.4pt,55.25pt" ID="Egyenes összekötő 10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</w:rPr>
              <w:t>Társadalmi bevonási</w:t>
            </w:r>
          </w:p>
        </w:tc>
        <w:tc>
          <w:tcPr>
            <w:tcW w:w="3521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556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18" w:type="dxa"/>
            <w:gridSpan w:val="3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704850</wp:posOffset>
                      </wp:positionV>
                      <wp:extent cx="875030" cy="436880"/>
                      <wp:effectExtent l="0" t="0" r="0" b="0"/>
                      <wp:wrapNone/>
                      <wp:docPr id="3" name="Egyenes összekötő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440" cy="36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25pt,43.55pt" to="132.05pt,72.4pt" ID="Egyenes összekötő 17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704850</wp:posOffset>
                      </wp:positionV>
                      <wp:extent cx="875030" cy="436880"/>
                      <wp:effectExtent l="0" t="0" r="0" b="0"/>
                      <wp:wrapNone/>
                      <wp:docPr id="4" name="Egyenes összekötő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440" cy="36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25pt,43.55pt" to="132.05pt,72.4pt" ID="Egyenes összekötő 16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661035</wp:posOffset>
                      </wp:positionV>
                      <wp:extent cx="762000" cy="422275"/>
                      <wp:effectExtent l="0" t="0" r="0" b="0"/>
                      <wp:wrapNone/>
                      <wp:docPr id="5" name="Egyenes összekötő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400" cy="378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.1pt,40.45pt" to="61pt,70.2pt" ID="Egyenes összekötő 13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661035</wp:posOffset>
                      </wp:positionV>
                      <wp:extent cx="763905" cy="422910"/>
                      <wp:effectExtent l="0" t="0" r="0" b="0"/>
                      <wp:wrapNone/>
                      <wp:docPr id="6" name="Egyenes összekötő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00" cy="379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.1pt,40.45pt" to="61.15pt,70.25pt" ID="Egyenes összekötő 12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</w:rPr>
              <w:t>Előzetes tájékoztatás</w:t>
            </w:r>
          </w:p>
        </w:tc>
        <w:tc>
          <w:tcPr>
            <w:tcW w:w="3521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699770</wp:posOffset>
                      </wp:positionV>
                      <wp:extent cx="858520" cy="434975"/>
                      <wp:effectExtent l="0" t="0" r="0" b="0"/>
                      <wp:wrapNone/>
                      <wp:docPr id="7" name="Egyenes összekötő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880" cy="367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pt,43.2pt" to="67.4pt,72.1pt" ID="Egyenes összekötő 19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5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532765</wp:posOffset>
                      </wp:positionV>
                      <wp:extent cx="867410" cy="408940"/>
                      <wp:effectExtent l="0" t="0" r="0" b="0"/>
                      <wp:wrapNone/>
                      <wp:docPr id="8" name="Egyenes összekötő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880" cy="326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4pt,30.95pt" to="66.8pt,56.65pt" ID="Egyenes összekötő 20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/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Megjelenítés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Hirdetőfelület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Lakossági Fórum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</w:tr>
    </w:tbl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1"/>
          <w:numId w:val="11"/>
        </w:numPr>
        <w:spacing w:lineRule="auto" w:line="276" w:before="0" w:after="200"/>
        <w:jc w:val="center"/>
        <w:rPr>
          <w:b/>
          <w:b/>
        </w:rPr>
      </w:pPr>
      <w:r>
        <w:rPr>
          <w:b/>
        </w:rPr>
        <w:t xml:space="preserve">TELEPÜLÉSRENDEZÉSI ESZKÖZ MÓDOSÍTÁSA – </w:t>
      </w:r>
    </w:p>
    <w:p>
      <w:pPr>
        <w:pStyle w:val="Normal"/>
        <w:numPr>
          <w:ilvl w:val="0"/>
          <w:numId w:val="9"/>
        </w:numPr>
        <w:spacing w:lineRule="auto" w:line="276" w:before="0" w:after="200"/>
        <w:jc w:val="center"/>
        <w:rPr>
          <w:b/>
          <w:b/>
        </w:rPr>
      </w:pPr>
      <w:r>
        <w:rPr>
          <w:b/>
        </w:rPr>
        <w:t>ÁLLAMI FŐÉPÍTÉSZI ELJÁRÁS</w:t>
      </w:r>
    </w:p>
    <w:p>
      <w:pPr>
        <w:pStyle w:val="Normal"/>
        <w:ind w:left="567" w:hanging="0"/>
        <w:jc w:val="both"/>
        <w:rPr>
          <w:b/>
          <w:b/>
        </w:rPr>
      </w:pPr>
      <w:r>
        <w:rPr>
          <w:b/>
        </w:rPr>
      </w:r>
    </w:p>
    <w:tbl>
      <w:tblPr>
        <w:tblW w:w="8896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79"/>
        <w:gridCol w:w="1590"/>
        <w:gridCol w:w="1"/>
        <w:gridCol w:w="1197"/>
        <w:gridCol w:w="1"/>
        <w:gridCol w:w="1726"/>
        <w:gridCol w:w="1"/>
        <w:gridCol w:w="1571"/>
        <w:gridCol w:w="1"/>
        <w:gridCol w:w="1728"/>
      </w:tblGrid>
      <w:tr>
        <w:trPr/>
        <w:tc>
          <w:tcPr>
            <w:tcW w:w="889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TELEPÜLÉSRENDEZÉSI ESZKÖZ MÓDOSÍTÁSA –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ÁLLAMI FŐÉPÍTÉSZI ELJÁRÁS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6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607695</wp:posOffset>
                      </wp:positionV>
                      <wp:extent cx="1571625" cy="478155"/>
                      <wp:effectExtent l="0" t="0" r="0" b="0"/>
                      <wp:wrapNone/>
                      <wp:docPr id="9" name="Egyenes összekötő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040" cy="286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4.75pt,37.05pt" to="238.4pt,59.6pt" ID="Egyenes összekötő 2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607695</wp:posOffset>
                      </wp:positionV>
                      <wp:extent cx="1571625" cy="478155"/>
                      <wp:effectExtent l="0" t="0" r="0" b="0"/>
                      <wp:wrapNone/>
                      <wp:docPr id="10" name="Egyenes összekötő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040" cy="286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4.75pt,37.05pt" to="238.4pt,59.6pt" ID="Egyenes összekötő 1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</w:rPr>
              <w:t>Véleményezés szakaszai</w:t>
            </w:r>
          </w:p>
        </w:tc>
        <w:tc>
          <w:tcPr>
            <w:tcW w:w="2925" w:type="dxa"/>
            <w:gridSpan w:val="4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bevonási</w:t>
            </w:r>
          </w:p>
        </w:tc>
        <w:tc>
          <w:tcPr>
            <w:tcW w:w="3301" w:type="dxa"/>
            <w:gridSpan w:val="4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6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925" w:type="dxa"/>
            <w:gridSpan w:val="4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Előzetes tájékoztatás</w:t>
            </w:r>
          </w:p>
        </w:tc>
        <w:tc>
          <w:tcPr>
            <w:tcW w:w="3301" w:type="dxa"/>
            <w:gridSpan w:val="4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520700</wp:posOffset>
                      </wp:positionV>
                      <wp:extent cx="849630" cy="410845"/>
                      <wp:effectExtent l="0" t="0" r="0" b="0"/>
                      <wp:wrapNone/>
                      <wp:docPr id="11" name="Egyenes összekötő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00" cy="335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7.85pt,29.85pt" to="184.7pt,56.2pt" ID="Egyenes összekötő 6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520700</wp:posOffset>
                      </wp:positionV>
                      <wp:extent cx="849630" cy="410845"/>
                      <wp:effectExtent l="0" t="0" r="0" b="0"/>
                      <wp:wrapNone/>
                      <wp:docPr id="12" name="Egyenes összekötő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00" cy="335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7.85pt,29.85pt" to="184.7pt,56.2pt" ID="Egyenes összekötő 4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1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548005</wp:posOffset>
                      </wp:positionV>
                      <wp:extent cx="954405" cy="424180"/>
                      <wp:effectExtent l="0" t="0" r="0" b="0"/>
                      <wp:wrapNone/>
                      <wp:docPr id="13" name="Egyenes összekötő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280" cy="324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2.3pt,31.95pt" to="72.7pt,57.45pt" ID="Egyenes összekötő 7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548005</wp:posOffset>
                      </wp:positionV>
                      <wp:extent cx="954405" cy="424180"/>
                      <wp:effectExtent l="0" t="0" r="0" b="0"/>
                      <wp:wrapNone/>
                      <wp:docPr id="14" name="Kép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280" cy="324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2.3pt,31.95pt" to="72.7pt,57.45pt" ID="Kép1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529590</wp:posOffset>
                      </wp:positionV>
                      <wp:extent cx="878840" cy="414655"/>
                      <wp:effectExtent l="0" t="0" r="0" b="0"/>
                      <wp:wrapNone/>
                      <wp:docPr id="15" name="Egyenes összekötő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760" cy="332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9pt,30.55pt" to="67.25pt,56.65pt" ID="Egyenes összekötő 9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529590</wp:posOffset>
                      </wp:positionV>
                      <wp:extent cx="878840" cy="414655"/>
                      <wp:effectExtent l="0" t="0" r="0" b="0"/>
                      <wp:wrapNone/>
                      <wp:docPr id="16" name="Egyenes összekötő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760" cy="332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9pt,30.55pt" to="67.25pt,56.65pt" ID="Egyenes összekötő 8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/>
        <w:tc>
          <w:tcPr>
            <w:tcW w:w="10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Megjelenítés</w:t>
            </w:r>
          </w:p>
        </w:tc>
        <w:tc>
          <w:tcPr>
            <w:tcW w:w="1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Hirdetőfelület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10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Lakossági Fórum</w:t>
            </w:r>
          </w:p>
        </w:tc>
        <w:tc>
          <w:tcPr>
            <w:tcW w:w="11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1"/>
        </w:numPr>
        <w:spacing w:lineRule="auto" w:line="276" w:before="0" w:after="200"/>
        <w:rPr/>
      </w:pPr>
      <w:r>
        <w:rPr>
          <w:b/>
        </w:rPr>
        <w:t>TELEPÜLÉSRENDEZÉSI ESZKÖZ MÓDOSÍTÁSA – TÁRGYALÁSOS ELJÁRÁS</w:t>
      </w:r>
    </w:p>
    <w:p>
      <w:pPr>
        <w:pStyle w:val="Normal"/>
        <w:numPr>
          <w:ilvl w:val="0"/>
          <w:numId w:val="0"/>
        </w:numPr>
        <w:spacing w:lineRule="auto" w:line="276" w:before="0" w:after="200"/>
        <w:ind w:left="644" w:hanging="0"/>
        <w:rPr>
          <w:b/>
          <w:b/>
        </w:rPr>
      </w:pPr>
      <w:r>
        <w:rPr>
          <w:b/>
        </w:rPr>
      </w:r>
    </w:p>
    <w:tbl>
      <w:tblPr>
        <w:tblW w:w="8896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8"/>
        <w:gridCol w:w="1652"/>
        <w:gridCol w:w="1263"/>
        <w:gridCol w:w="1"/>
        <w:gridCol w:w="1728"/>
        <w:gridCol w:w="1"/>
        <w:gridCol w:w="1562"/>
        <w:gridCol w:w="1"/>
        <w:gridCol w:w="1729"/>
      </w:tblGrid>
      <w:tr>
        <w:trPr/>
        <w:tc>
          <w:tcPr>
            <w:tcW w:w="889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TELEPÜLÉSRENDEZÉSI ESZKÖZ MÓDOSÍTÁSA –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TÁRGYALÁSOS ELJÁRÁS</w:t>
            </w:r>
            <w:r>
              <w:rPr>
                <w:rStyle w:val="Lbjegyzethorgony"/>
                <w:rStyle w:val="Lbjegyzethorgony"/>
                <w:b/>
              </w:rPr>
              <w:footnoteReference w:id="2"/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61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8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607695</wp:posOffset>
                      </wp:positionV>
                      <wp:extent cx="1571625" cy="478155"/>
                      <wp:effectExtent l="0" t="0" r="0" b="0"/>
                      <wp:wrapNone/>
                      <wp:docPr id="17" name="Kép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040" cy="286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4.75pt,37.05pt" to="238.4pt,59.6pt" ID="Kép2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9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607695</wp:posOffset>
                      </wp:positionV>
                      <wp:extent cx="1571625" cy="478155"/>
                      <wp:effectExtent l="0" t="0" r="0" b="0"/>
                      <wp:wrapNone/>
                      <wp:docPr id="18" name="Kép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040" cy="286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4.75pt,37.05pt" to="238.4pt,59.6pt" ID="Kép3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</w:rPr>
              <w:t>Véleményezés szakaszai</w:t>
            </w:r>
          </w:p>
        </w:tc>
        <w:tc>
          <w:tcPr>
            <w:tcW w:w="2992" w:type="dxa"/>
            <w:gridSpan w:val="3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bevonási</w:t>
            </w:r>
          </w:p>
        </w:tc>
        <w:tc>
          <w:tcPr>
            <w:tcW w:w="3293" w:type="dxa"/>
            <w:gridSpan w:val="4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61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992" w:type="dxa"/>
            <w:gridSpan w:val="3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Előzetes tájékoztatás</w:t>
            </w:r>
          </w:p>
        </w:tc>
        <w:tc>
          <w:tcPr>
            <w:tcW w:w="3293" w:type="dxa"/>
            <w:gridSpan w:val="4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520700</wp:posOffset>
                      </wp:positionV>
                      <wp:extent cx="849630" cy="410845"/>
                      <wp:effectExtent l="0" t="0" r="0" b="0"/>
                      <wp:wrapNone/>
                      <wp:docPr id="19" name="Kép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00" cy="335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7.85pt,29.85pt" to="184.7pt,56.2pt" ID="Kép4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1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520700</wp:posOffset>
                      </wp:positionV>
                      <wp:extent cx="849630" cy="410845"/>
                      <wp:effectExtent l="0" t="0" r="0" b="0"/>
                      <wp:wrapNone/>
                      <wp:docPr id="20" name="Kép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00" cy="335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7.85pt,29.85pt" to="184.7pt,56.2pt" ID="Kép5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548005</wp:posOffset>
                      </wp:positionV>
                      <wp:extent cx="954405" cy="424180"/>
                      <wp:effectExtent l="0" t="0" r="0" b="0"/>
                      <wp:wrapNone/>
                      <wp:docPr id="21" name="Kép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280" cy="324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2.3pt,31.95pt" to="72.7pt,57.45pt" ID="Kép6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548005</wp:posOffset>
                      </wp:positionV>
                      <wp:extent cx="954405" cy="424180"/>
                      <wp:effectExtent l="0" t="0" r="0" b="0"/>
                      <wp:wrapNone/>
                      <wp:docPr id="22" name="Kép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280" cy="324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2.3pt,31.95pt" to="72.7pt,57.45pt" ID="Kép7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529590</wp:posOffset>
                      </wp:positionV>
                      <wp:extent cx="878840" cy="414655"/>
                      <wp:effectExtent l="0" t="0" r="0" b="0"/>
                      <wp:wrapNone/>
                      <wp:docPr id="23" name="Kép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760" cy="332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9pt,30.55pt" to="67.25pt,56.65pt" ID="Kép8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529590</wp:posOffset>
                      </wp:positionV>
                      <wp:extent cx="878840" cy="414655"/>
                      <wp:effectExtent l="0" t="0" r="0" b="0"/>
                      <wp:wrapNone/>
                      <wp:docPr id="24" name="Kép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760" cy="332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9pt,30.55pt" to="67.25pt,56.65pt" ID="Kép9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/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Megjelenítés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Hirdetőfelület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9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Lakossági Fórum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Igen*</w:t>
            </w:r>
          </w:p>
        </w:tc>
      </w:tr>
    </w:tbl>
    <w:p>
      <w:pPr>
        <w:pStyle w:val="Normal"/>
        <w:shd w:val="clear" w:color="auto" w:fill="FFFFFF"/>
        <w:ind w:left="567" w:hanging="283"/>
        <w:jc w:val="both"/>
        <w:rPr>
          <w:i/>
          <w:i/>
          <w:color w:val="000000"/>
        </w:rPr>
      </w:pPr>
      <w:r>
        <w:rPr>
          <w:i/>
        </w:rPr>
        <w:t xml:space="preserve">*: </w:t>
      </w:r>
      <w:r>
        <w:rPr>
          <w:i/>
          <w:color w:val="000000"/>
        </w:rPr>
        <w:t>Kivéve a nemzetgazdasági szempontból kiemelt beruházásokhoz kapcsolódó módosítások, ekkor csak a hirdető felületen és a honlapon való megjelenítés a kötelező.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3"/>
        </w:numPr>
        <w:ind w:left="426" w:hanging="426"/>
        <w:jc w:val="both"/>
        <w:rPr>
          <w:b/>
          <w:b/>
          <w:bCs/>
        </w:rPr>
      </w:pPr>
      <w:r>
        <w:rPr>
          <w:b/>
          <w:bCs/>
          <w:u w:val="single"/>
        </w:rPr>
        <w:t>A partnerek által adott javaslatok, vélemények, megadásának módja és határideje, nyilvántartásának módja:</w:t>
      </w:r>
      <w:r>
        <w:rPr>
          <w:b/>
          <w:bCs/>
        </w:rPr>
        <w:t xml:space="preserve"> 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0"/>
        </w:numPr>
        <w:jc w:val="both"/>
        <w:rPr>
          <w:b/>
          <w:b/>
          <w:bCs/>
        </w:rPr>
      </w:pPr>
      <w:r>
        <w:rPr>
          <w:b/>
          <w:bCs/>
        </w:rPr>
        <w:t>A javaslatok, vélemények dokumentálásának, nyilvántartásának módja:</w:t>
      </w:r>
    </w:p>
    <w:p>
      <w:pPr>
        <w:pStyle w:val="Normal"/>
        <w:ind w:left="786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416" w:hanging="708"/>
        <w:jc w:val="both"/>
        <w:rPr/>
      </w:pPr>
      <w:r>
        <w:rPr/>
        <w:t>1.1.</w:t>
        <w:tab/>
        <w:t>A beérkezett észrevételeket, javaslatokat, véleményeket az ügyirathoz kell iktatni és abban kell megőrizni.</w:t>
      </w:r>
    </w:p>
    <w:p>
      <w:pPr>
        <w:pStyle w:val="Normal"/>
        <w:ind w:left="1416" w:hanging="707"/>
        <w:jc w:val="both"/>
        <w:rPr/>
      </w:pPr>
      <w:r>
        <w:rPr/>
        <w:t>1.2.</w:t>
        <w:tab/>
        <w:t>A beérkezett észrevételekről, javaslatokról, véleményekről összefoglaló táblázatot kell készíteni a megbízott főépítésznek. A Képviselő-testületi hatáskörbe tartozó kérdésekben ki kell kérni a Képviselő-testület döntését is. Ezt a táblázatot az ügyiratban kell elhelyezni és megőrizni a készítés időpontjával, valamint a készítőjének aláírásával ellátva.</w:t>
      </w:r>
    </w:p>
    <w:p>
      <w:pPr>
        <w:pStyle w:val="Normal"/>
        <w:ind w:left="1416" w:hanging="707"/>
        <w:jc w:val="both"/>
        <w:rPr/>
      </w:pPr>
      <w:r>
        <w:rPr/>
        <w:t>1.3.</w:t>
        <w:tab/>
        <w:t>Az összefoglaló táblázatot az aktuálisan megbízott településtervező részére is el kell juttatni, annak érdekében, hogy az érintett munkarészek javításra kerüljenek, a javítás módjáról tételesen írásos tervezői válasz formájában válaszol, melyet szintén az ügyirathoz kell iktatni és abban kell megőrizni.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ind w:left="709" w:hanging="283"/>
        <w:jc w:val="both"/>
        <w:rPr>
          <w:b/>
          <w:b/>
          <w:bCs/>
        </w:rPr>
      </w:pPr>
      <w:r>
        <w:rPr>
          <w:b/>
          <w:bCs/>
        </w:rPr>
        <w:t>Az el nem fogadott javaslatok, vélemények indokolásának módja, a dokumentálásuk,</w:t>
      </w:r>
    </w:p>
    <w:p>
      <w:pPr>
        <w:pStyle w:val="Normal"/>
        <w:ind w:left="709" w:hanging="6"/>
        <w:jc w:val="both"/>
        <w:rPr>
          <w:b/>
          <w:b/>
          <w:bCs/>
        </w:rPr>
      </w:pPr>
      <w:r>
        <w:rPr>
          <w:b/>
          <w:bCs/>
        </w:rPr>
        <w:t>nyilvántartásuk rendje: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1411" w:hanging="708"/>
        <w:jc w:val="both"/>
        <w:rPr/>
      </w:pPr>
      <w:r>
        <w:rPr/>
        <w:t>2.1.</w:t>
      </w:r>
      <w:r>
        <w:rPr>
          <w:b/>
        </w:rPr>
        <w:tab/>
      </w:r>
      <w:r>
        <w:rPr/>
        <w:t xml:space="preserve">A partnerségi véleményezés bevonási és véleményezési szakaszokban beérkezett javaslatotokat a főépítész szakmailag értékeli és döntésre előkészíti a Képviselő-testület/Bizottság számára. Ebben megindokolja írásban a beérkezett, de elfogadásra nem javasolt véleményeket. </w:t>
      </w:r>
      <w:r>
        <w:rPr>
          <w:b/>
        </w:rPr>
        <w:t>Az indokolásban külön kell választani a jogszabályon alapuló véleményeket a szakmai javaslatoktól.</w:t>
      </w:r>
      <w:r>
        <w:rPr/>
        <w:t xml:space="preserve"> Az így készített szakmai előterjesztés alapján a döntéshozásra jogosult meghozza döntését. Ezt a döntést a főépítész a véleményezési szakasz lezárásához kötelezően felhasználja. Ezt követően a döntést és az írásban beérkezett, de el nem fogadott véleményeket, az ügyiratban kell elhelyezni és megőrizni.</w:t>
      </w:r>
    </w:p>
    <w:p>
      <w:pPr>
        <w:pStyle w:val="Normal"/>
        <w:ind w:left="1411" w:hanging="702"/>
        <w:jc w:val="both"/>
        <w:rPr/>
      </w:pPr>
      <w:r>
        <w:rPr/>
        <w:t>2.2.</w:t>
        <w:tab/>
        <w:t>Az észrevételt, véleményt tevőnek - tértivevényes úton - meg kell küldeni az el nem fogadott véleményének indokolását.</w:t>
      </w:r>
    </w:p>
    <w:p>
      <w:pPr>
        <w:pStyle w:val="Normal"/>
        <w:ind w:firstLine="426"/>
        <w:rPr/>
      </w:pPr>
      <w:r>
        <w:rPr>
          <w:b/>
          <w:bCs/>
        </w:rPr>
        <w:t>3. A partnerek által adott javaslatok, vélemények határideje:</w:t>
      </w:r>
    </w:p>
    <w:p>
      <w:pPr>
        <w:pStyle w:val="Normal"/>
        <w:ind w:left="708" w:hanging="0"/>
        <w:jc w:val="both"/>
        <w:rPr>
          <w:b/>
          <w:b/>
        </w:rPr>
      </w:pPr>
      <w:r>
        <w:rPr/>
        <w:t>Ha van lakossági fórum, akkor azt megelőzően legalább 8 nappal korábban az elkészült tervezetet az V. Fejezet szerinti helyeken meg kell jeleníteni.</w:t>
      </w:r>
    </w:p>
    <w:p>
      <w:pPr>
        <w:pStyle w:val="Normal"/>
        <w:ind w:left="709" w:hanging="0"/>
        <w:jc w:val="both"/>
        <w:rPr/>
      </w:pPr>
      <w:r>
        <w:rPr/>
        <w:t>Lakossági fórum hiányában az Önkormányzat hivatalos honlapján a hirdetményt az elkészült fejlesztéseket megalapozó dokumentumok tervezeteivel közzé kell tenni. A közzétételt követően véleményezésre:</w:t>
      </w:r>
    </w:p>
    <w:p>
      <w:pPr>
        <w:pStyle w:val="Normal"/>
        <w:numPr>
          <w:ilvl w:val="0"/>
          <w:numId w:val="8"/>
        </w:numPr>
        <w:ind w:left="1215" w:hanging="506"/>
        <w:jc w:val="both"/>
        <w:rPr/>
      </w:pPr>
      <w:r>
        <w:rPr/>
        <w:t>teljes eljárás:</w:t>
      </w:r>
    </w:p>
    <w:p>
      <w:pPr>
        <w:pStyle w:val="Normal"/>
        <w:tabs>
          <w:tab w:val="left" w:pos="1843" w:leader="none"/>
        </w:tabs>
        <w:ind w:left="1215" w:hanging="506"/>
        <w:jc w:val="both"/>
        <w:rPr/>
      </w:pPr>
      <w:r>
        <w:rPr/>
        <w:tab/>
        <w:t>aa)</w:t>
        <w:tab/>
        <w:t>előzetes tájékoztatási szakasznál: 21 napot,</w:t>
      </w:r>
    </w:p>
    <w:p>
      <w:pPr>
        <w:pStyle w:val="Normal"/>
        <w:tabs>
          <w:tab w:val="left" w:pos="1843" w:leader="none"/>
        </w:tabs>
        <w:ind w:left="1215" w:hanging="506"/>
        <w:jc w:val="both"/>
        <w:rPr/>
      </w:pPr>
      <w:r>
        <w:rPr/>
        <w:tab/>
        <w:t>ab)</w:t>
        <w:tab/>
        <w:t>véleményezési szakaszánál: 30 napot,</w:t>
      </w:r>
    </w:p>
    <w:p>
      <w:pPr>
        <w:pStyle w:val="Normal"/>
        <w:numPr>
          <w:ilvl w:val="0"/>
          <w:numId w:val="8"/>
        </w:numPr>
        <w:spacing w:before="0" w:after="0"/>
        <w:ind w:left="1215" w:hanging="506"/>
        <w:jc w:val="both"/>
        <w:rPr/>
      </w:pPr>
      <w:r>
        <w:rPr/>
        <w:t>egyszerűsített eljárás véleményezési szakaszánál: 15 napot,</w:t>
      </w:r>
    </w:p>
    <w:p>
      <w:pPr>
        <w:pStyle w:val="Normal"/>
        <w:numPr>
          <w:ilvl w:val="0"/>
          <w:numId w:val="8"/>
        </w:numPr>
        <w:spacing w:before="0" w:after="0"/>
        <w:ind w:left="1215" w:hanging="506"/>
        <w:jc w:val="both"/>
        <w:rPr/>
      </w:pPr>
      <w:r>
        <w:rPr/>
        <w:t>tárgyalásos eljárásnál: 8 napot,</w:t>
      </w:r>
    </w:p>
    <w:p>
      <w:pPr>
        <w:pStyle w:val="Normal"/>
        <w:numPr>
          <w:ilvl w:val="0"/>
          <w:numId w:val="8"/>
        </w:numPr>
        <w:spacing w:before="0" w:after="0"/>
        <w:ind w:left="1215" w:hanging="506"/>
        <w:jc w:val="both"/>
        <w:rPr/>
      </w:pPr>
      <w:r>
        <w:rPr/>
        <w:t>állami főépítészi eljárásnál: 8 napot</w:t>
      </w:r>
    </w:p>
    <w:p>
      <w:pPr>
        <w:pStyle w:val="Normal"/>
        <w:numPr>
          <w:ilvl w:val="0"/>
          <w:numId w:val="8"/>
        </w:numPr>
        <w:spacing w:before="0" w:after="0"/>
        <w:ind w:left="1215" w:hanging="506"/>
        <w:jc w:val="both"/>
        <w:rPr/>
      </w:pPr>
      <w:r>
        <w:rPr/>
        <w:t>kézikönyv: 15 napot</w:t>
      </w:r>
    </w:p>
    <w:p>
      <w:pPr>
        <w:pStyle w:val="Normal"/>
        <w:numPr>
          <w:ilvl w:val="0"/>
          <w:numId w:val="8"/>
        </w:numPr>
        <w:ind w:left="1215" w:hanging="506"/>
        <w:jc w:val="both"/>
        <w:rPr/>
      </w:pPr>
      <w:r>
        <w:rPr/>
        <w:t>településképi rendelet: 8 napot</w:t>
      </w:r>
    </w:p>
    <w:p>
      <w:pPr>
        <w:pStyle w:val="Normal"/>
        <w:ind w:left="1215" w:hanging="506"/>
        <w:jc w:val="both"/>
        <w:rPr/>
      </w:pPr>
      <w:r>
        <w:rPr/>
        <w:t>kell legalább biztosítani.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ind w:left="426" w:hanging="426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Az elfogadott koncepció, stratégia és településrendezési eszközök nyilvánosságát biztosító intézkedések:</w:t>
      </w:r>
    </w:p>
    <w:p>
      <w:pPr>
        <w:pStyle w:val="Normal"/>
        <w:ind w:left="108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426" w:leader="none"/>
        </w:tabs>
        <w:ind w:left="425" w:hanging="0"/>
        <w:jc w:val="both"/>
        <w:rPr/>
      </w:pPr>
      <w:r>
        <w:rPr/>
        <w:t>A fejlesztéseket megalapozó dokumentumokat, illetve azok módosítását közzé kell tenni:</w:t>
      </w:r>
    </w:p>
    <w:p>
      <w:pPr>
        <w:pStyle w:val="Normal"/>
        <w:numPr>
          <w:ilvl w:val="0"/>
          <w:numId w:val="7"/>
        </w:numPr>
        <w:spacing w:before="0" w:after="0"/>
        <w:ind w:left="720" w:hanging="294"/>
        <w:jc w:val="both"/>
        <w:rPr/>
      </w:pPr>
      <w:r>
        <w:rPr/>
        <w:t>Az Önkormányzat hivatalos honlapján hirdetményben,</w:t>
      </w:r>
    </w:p>
    <w:p>
      <w:pPr>
        <w:pStyle w:val="Normal"/>
        <w:numPr>
          <w:ilvl w:val="0"/>
          <w:numId w:val="7"/>
        </w:numPr>
        <w:tabs>
          <w:tab w:val="left" w:pos="426" w:leader="none"/>
        </w:tabs>
        <w:ind w:left="720" w:hanging="294"/>
        <w:jc w:val="both"/>
        <w:rPr/>
      </w:pPr>
      <w:r>
        <w:rPr/>
        <w:t>a Polgármesteri Hivatal hirdető tábláján nyomtatásban.</w:t>
      </w:r>
    </w:p>
    <w:p>
      <w:pPr>
        <w:pStyle w:val="Normal"/>
        <w:ind w:left="426" w:hanging="0"/>
        <w:jc w:val="both"/>
        <w:rPr/>
      </w:pPr>
      <w:r>
        <w:rPr/>
        <w:t>A közzétételt csatolt rövid, közérthető összefoglaló teszi egyértelművé az érdekeltek számára.</w:t>
      </w:r>
    </w:p>
    <w:p>
      <w:pPr>
        <w:pStyle w:val="Normal"/>
        <w:ind w:left="426" w:hanging="0"/>
        <w:jc w:val="both"/>
        <w:rPr/>
      </w:pPr>
      <w:r>
        <w:rPr/>
      </w:r>
    </w:p>
    <w:p>
      <w:pPr>
        <w:pStyle w:val="Normal"/>
        <w:ind w:left="426" w:hanging="0"/>
        <w:jc w:val="both"/>
        <w:rPr/>
      </w:pPr>
      <w:r>
        <w:rPr/>
      </w:r>
    </w:p>
    <w:p>
      <w:pPr>
        <w:pStyle w:val="Normal"/>
        <w:ind w:left="426" w:hanging="0"/>
        <w:jc w:val="both"/>
        <w:rPr/>
      </w:pPr>
      <w:r>
        <w:rPr/>
      </w:r>
    </w:p>
    <w:p>
      <w:pPr>
        <w:pStyle w:val="Default"/>
        <w:rPr/>
      </w:pPr>
      <w:r>
        <w:rPr>
          <w:sz w:val="22"/>
          <w:szCs w:val="22"/>
        </w:rPr>
        <w:t xml:space="preserve">Kelt: Zemplénagárd, 2019. január </w:t>
      </w:r>
      <w:r>
        <w:rPr>
          <w:sz w:val="22"/>
          <w:szCs w:val="22"/>
        </w:rPr>
        <w:t>23</w:t>
      </w:r>
      <w:r>
        <w:rPr>
          <w:sz w:val="22"/>
          <w:szCs w:val="22"/>
        </w:rPr>
        <w:t>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tabs>
          <w:tab w:val="center" w:pos="2268" w:leader="none"/>
          <w:tab w:val="center" w:pos="567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……………………..</w:t>
        <w:tab/>
        <w:t>……………………..</w:t>
      </w:r>
    </w:p>
    <w:p>
      <w:pPr>
        <w:pStyle w:val="Default"/>
        <w:tabs>
          <w:tab w:val="center" w:pos="2268" w:leader="none"/>
          <w:tab w:val="center" w:pos="567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polgármester </w:t>
        <w:tab/>
        <w:t>jegyző</w:t>
      </w:r>
    </w:p>
    <w:p>
      <w:pPr>
        <w:pStyle w:val="Default"/>
        <w:tabs>
          <w:tab w:val="center" w:pos="2268" w:leader="none"/>
          <w:tab w:val="center" w:pos="567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tabs>
          <w:tab w:val="center" w:pos="2268" w:leader="none"/>
          <w:tab w:val="center" w:pos="567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Lbjegyzet"/>
        <w:spacing w:before="0" w:after="200"/>
        <w:rPr/>
      </w:pPr>
      <w:r>
        <w:rPr>
          <w:rStyle w:val="Lbjegyzetkarakterek"/>
        </w:rPr>
        <w:footnoteRef/>
      </w:r>
      <w:r>
        <w:rPr>
          <w:rStyle w:val="Lbjegyzetkarakterek"/>
        </w:rPr>
        <w:tab/>
      </w:r>
      <w:r>
        <w:rPr>
          <w:rStyle w:val="Lbjegyzetkarakterek"/>
        </w:rPr>
        <w:tab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lvl w:ilvl="0">
      <w:start w:val="2"/>
      <w:numFmt w:val="decimal"/>
      <w:lvlText w:val="%1."/>
      <w:lvlJc w:val="left"/>
      <w:pPr>
        <w:ind w:left="405" w:hanging="405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2"/>
      <w:numFmt w:val="decimal"/>
      <w:lvlText w:val="%1.%2."/>
      <w:lvlJc w:val="left"/>
      <w:pPr>
        <w:ind w:left="2444" w:hanging="720"/>
      </w:pPr>
    </w:lvl>
    <w:lvl w:ilvl="2">
      <w:start w:val="1"/>
      <w:numFmt w:val="decimal"/>
      <w:lvlText w:val="%1.%2.%3."/>
      <w:lvlJc w:val="left"/>
      <w:pPr>
        <w:ind w:left="4168" w:hanging="720"/>
      </w:pPr>
    </w:lvl>
    <w:lvl w:ilvl="3">
      <w:start w:val="1"/>
      <w:numFmt w:val="decimal"/>
      <w:lvlText w:val="%1.%2.%3.%4."/>
      <w:lvlJc w:val="left"/>
      <w:pPr>
        <w:ind w:left="6252" w:hanging="1080"/>
      </w:pPr>
    </w:lvl>
    <w:lvl w:ilvl="4">
      <w:start w:val="1"/>
      <w:numFmt w:val="decimal"/>
      <w:lvlText w:val="%1.%2.%3.%4.%5."/>
      <w:lvlJc w:val="left"/>
      <w:pPr>
        <w:ind w:left="7976" w:hanging="1080"/>
      </w:pPr>
    </w:lvl>
    <w:lvl w:ilvl="5">
      <w:start w:val="1"/>
      <w:numFmt w:val="decimal"/>
      <w:lvlText w:val="%1.%2.%3.%4.%5.%6."/>
      <w:lvlJc w:val="left"/>
      <w:pPr>
        <w:ind w:left="10060" w:hanging="1440"/>
      </w:pPr>
    </w:lvl>
    <w:lvl w:ilvl="6">
      <w:start w:val="1"/>
      <w:numFmt w:val="decimal"/>
      <w:lvlText w:val="%1.%2.%3.%4.%5.%6.%7."/>
      <w:lvlJc w:val="left"/>
      <w:pPr>
        <w:ind w:left="11784" w:hanging="1440"/>
      </w:pPr>
    </w:lvl>
    <w:lvl w:ilvl="7">
      <w:start w:val="1"/>
      <w:numFmt w:val="decimal"/>
      <w:lvlText w:val="%1.%2.%3.%4.%5.%6.%7.%8."/>
      <w:lvlJc w:val="left"/>
      <w:pPr>
        <w:ind w:left="13868" w:hanging="1800"/>
      </w:pPr>
    </w:lvl>
    <w:lvl w:ilvl="8">
      <w:start w:val="1"/>
      <w:numFmt w:val="decimal"/>
      <w:lvlText w:val="%1.%2.%3.%4.%5.%6.%7.%8.%9."/>
      <w:lvlJc w:val="left"/>
      <w:pPr>
        <w:ind w:left="15952" w:hanging="216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b/>
        <w:rFonts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2d16"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basedOn w:val="DefaultParagraphFont"/>
    <w:link w:val="Lbjegyzetszveg"/>
    <w:uiPriority w:val="99"/>
    <w:semiHidden/>
    <w:qFormat/>
    <w:rsid w:val="008e2d16"/>
    <w:rPr>
      <w:rFonts w:ascii="Calibri" w:hAnsi="Calibri" w:eastAsia="Calibri" w:cs="Times New Roman"/>
      <w:sz w:val="20"/>
      <w:szCs w:val="20"/>
    </w:rPr>
  </w:style>
  <w:style w:type="character" w:styleId="Lbjegyzethorgony">
    <w:name w:val="Lábjegyzet-horgony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8e2d16"/>
    <w:rPr>
      <w:vertAlign w:val="superscript"/>
    </w:rPr>
  </w:style>
  <w:style w:type="character" w:styleId="ListLabel1">
    <w:name w:val="ListLabel 1"/>
    <w:qFormat/>
    <w:rPr>
      <w:rFonts w:eastAsia="Times New Roman" w:cs="Times New Roman"/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  <w:b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bjegyzetkarakterek">
    <w:name w:val="Lábjegyzet-karakterek"/>
    <w:qFormat/>
    <w:rPr/>
  </w:style>
  <w:style w:type="character" w:styleId="Vgjegyzethorgony">
    <w:name w:val="Végjegyzet-horgony"/>
    <w:rPr>
      <w:vertAlign w:val="superscript"/>
    </w:rPr>
  </w:style>
  <w:style w:type="character" w:styleId="Vgjegyzetkarakterek">
    <w:name w:val="Végjegyzet-karakterek"/>
    <w:qFormat/>
    <w:rPr/>
  </w:style>
  <w:style w:type="character" w:styleId="ListLabel9">
    <w:name w:val="ListLabel 9"/>
    <w:qFormat/>
    <w:rPr>
      <w:rFonts w:eastAsia="Times New Roman" w:cs="Times New Roman"/>
      <w:b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Times New Roman"/>
      <w:b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eastAsia="Times New Roman" w:cs="Times New Roman"/>
      <w:b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Times New Roman"/>
      <w:b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8e2d16"/>
    <w:pPr>
      <w:widowControl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hu-HU" w:eastAsia="hu-HU" w:bidi="ar-SA"/>
    </w:rPr>
  </w:style>
  <w:style w:type="paragraph" w:styleId="ListParagraph">
    <w:name w:val="List Paragraph"/>
    <w:basedOn w:val="Normal"/>
    <w:uiPriority w:val="99"/>
    <w:qFormat/>
    <w:rsid w:val="008e2d16"/>
    <w:pPr>
      <w:spacing w:before="0" w:after="0"/>
      <w:ind w:left="720" w:hanging="0"/>
      <w:contextualSpacing/>
    </w:pPr>
    <w:rPr/>
  </w:style>
  <w:style w:type="paragraph" w:styleId="Lbjegyzet">
    <w:name w:val="Footnote Text"/>
    <w:basedOn w:val="Normal"/>
    <w:link w:val="LbjegyzetszvegChar"/>
    <w:uiPriority w:val="99"/>
    <w:semiHidden/>
    <w:unhideWhenUsed/>
    <w:rsid w:val="008e2d16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LibreOffice/6.0.0.3$Windows_x86 LibreOffice_project/64a0f66915f38c6217de274f0aa8e15618924765</Application>
  <Pages>6</Pages>
  <Words>1100</Words>
  <Characters>8268</Characters>
  <CharactersWithSpaces>9149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2017-07-13T12:16:00Z</dcterms:created>
  <dc:creator>Felhasznalo</dc:creator>
  <dc:description/>
  <dc:language>hu-HU</dc:language>
  <cp:lastModifiedBy/>
  <cp:lastPrinted>2019-01-11T07:39:43Z</cp:lastPrinted>
  <dcterms:modified xsi:type="dcterms:W3CDTF">2019-01-30T14:51:15Z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