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8C" w:rsidRPr="00FF2607" w:rsidRDefault="008B698C" w:rsidP="008B698C">
      <w:pPr>
        <w:jc w:val="right"/>
      </w:pPr>
      <w:r w:rsidRPr="00FF2607">
        <w:t>1</w:t>
      </w:r>
      <w:proofErr w:type="gramStart"/>
      <w:r w:rsidRPr="00FF2607">
        <w:t>.sz</w:t>
      </w:r>
      <w:r>
        <w:t>.</w:t>
      </w:r>
      <w:proofErr w:type="gramEnd"/>
      <w:r w:rsidRPr="00FF2607">
        <w:t xml:space="preserve"> melléklet</w:t>
      </w:r>
      <w:r>
        <w:t xml:space="preserve"> az 1/2015.(III.01.) sz. önkormányzati rendelethez</w:t>
      </w:r>
    </w:p>
    <w:p w:rsidR="008B698C" w:rsidRPr="00FE2B06" w:rsidRDefault="008B698C" w:rsidP="008B698C">
      <w:pPr>
        <w:rPr>
          <w:b/>
          <w:i/>
        </w:rPr>
      </w:pPr>
    </w:p>
    <w:p w:rsidR="008B698C" w:rsidRPr="00FE2B06" w:rsidRDefault="008B698C" w:rsidP="008B698C">
      <w:pPr>
        <w:rPr>
          <w:b/>
          <w:i/>
        </w:rPr>
      </w:pPr>
    </w:p>
    <w:p w:rsidR="008B698C" w:rsidRPr="00FF2607" w:rsidRDefault="008B698C" w:rsidP="008B698C">
      <w:pPr>
        <w:jc w:val="center"/>
        <w:rPr>
          <w:b/>
        </w:rPr>
      </w:pPr>
      <w:r w:rsidRPr="00FF2607">
        <w:rPr>
          <w:b/>
        </w:rPr>
        <w:t>A</w:t>
      </w:r>
      <w:r>
        <w:rPr>
          <w:b/>
        </w:rPr>
        <w:t>z alkalmazandó út-és közterület-</w:t>
      </w:r>
      <w:r w:rsidRPr="00FF2607">
        <w:rPr>
          <w:b/>
        </w:rPr>
        <w:t>használati díjakról</w:t>
      </w:r>
    </w:p>
    <w:p w:rsidR="008B698C" w:rsidRPr="00FE2B06" w:rsidRDefault="008B698C" w:rsidP="008B698C">
      <w:pPr>
        <w:rPr>
          <w:b/>
          <w:i/>
        </w:rPr>
      </w:pPr>
    </w:p>
    <w:p w:rsidR="008B698C" w:rsidRPr="00FE2B06" w:rsidRDefault="008B698C" w:rsidP="008B698C">
      <w:pPr>
        <w:rPr>
          <w:b/>
          <w:i/>
        </w:rPr>
      </w:pPr>
    </w:p>
    <w:p w:rsidR="008B698C" w:rsidRDefault="008B698C" w:rsidP="008B698C">
      <w:pPr>
        <w:tabs>
          <w:tab w:val="left" w:pos="6237"/>
        </w:tabs>
        <w:rPr>
          <w:b/>
          <w:u w:val="single"/>
        </w:rPr>
      </w:pPr>
      <w:r w:rsidRPr="00FF2607">
        <w:rPr>
          <w:b/>
          <w:u w:val="single"/>
        </w:rPr>
        <w:t>Megnevezés</w:t>
      </w:r>
      <w:proofErr w:type="gramStart"/>
      <w:r w:rsidRPr="00FF2607">
        <w:rPr>
          <w:b/>
          <w:u w:val="single"/>
        </w:rPr>
        <w:t>:</w:t>
      </w:r>
      <w:r w:rsidRPr="00FF2607">
        <w:t xml:space="preserve">                                                                           </w:t>
      </w:r>
      <w:r>
        <w:tab/>
      </w:r>
      <w:r w:rsidRPr="00FF2607">
        <w:rPr>
          <w:b/>
          <w:u w:val="single"/>
        </w:rPr>
        <w:t>Díjtételek</w:t>
      </w:r>
      <w:proofErr w:type="gramEnd"/>
      <w:r w:rsidRPr="00FF2607">
        <w:rPr>
          <w:b/>
          <w:u w:val="single"/>
        </w:rPr>
        <w:t>:</w:t>
      </w:r>
    </w:p>
    <w:p w:rsidR="008B698C" w:rsidRDefault="008B698C" w:rsidP="008B698C">
      <w:pPr>
        <w:tabs>
          <w:tab w:val="left" w:pos="6237"/>
        </w:tabs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80"/>
        <w:gridCol w:w="2333"/>
      </w:tblGrid>
      <w:tr w:rsidR="008B698C" w:rsidRPr="00FF2607" w:rsidTr="005D6A89">
        <w:tc>
          <w:tcPr>
            <w:tcW w:w="828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</w:pPr>
            <w:r>
              <w:t>1)</w:t>
            </w:r>
          </w:p>
        </w:tc>
        <w:tc>
          <w:tcPr>
            <w:tcW w:w="5580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both"/>
            </w:pPr>
            <w:r>
              <w:t>Közterületbe 50 cm-en túl benyúló üzlet-homlokzat (portál) kirakatszekrény, üzleti védtető (előtető), hirdető-berendezés, cég- és címtábla</w:t>
            </w:r>
          </w:p>
        </w:tc>
        <w:tc>
          <w:tcPr>
            <w:tcW w:w="2333" w:type="dxa"/>
            <w:shd w:val="clear" w:color="auto" w:fill="auto"/>
          </w:tcPr>
          <w:p w:rsidR="008B698C" w:rsidRDefault="008B698C" w:rsidP="005D6A89">
            <w:pPr>
              <w:tabs>
                <w:tab w:val="left" w:pos="6237"/>
              </w:tabs>
              <w:jc w:val="right"/>
            </w:pPr>
          </w:p>
          <w:p w:rsidR="008B698C" w:rsidRPr="00FF2607" w:rsidRDefault="008B698C" w:rsidP="005D6A89">
            <w:pPr>
              <w:tabs>
                <w:tab w:val="left" w:pos="6237"/>
              </w:tabs>
              <w:jc w:val="right"/>
            </w:pPr>
            <w:r>
              <w:t>1.000,- Ft/hó</w:t>
            </w:r>
          </w:p>
        </w:tc>
      </w:tr>
      <w:tr w:rsidR="008B698C" w:rsidRPr="00FF2607" w:rsidTr="005D6A89">
        <w:tc>
          <w:tcPr>
            <w:tcW w:w="828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</w:pPr>
            <w:r>
              <w:t>2)</w:t>
            </w:r>
          </w:p>
        </w:tc>
        <w:tc>
          <w:tcPr>
            <w:tcW w:w="5580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both"/>
            </w:pPr>
            <w:r>
              <w:t>Árusító és egyéb fülke</w:t>
            </w:r>
          </w:p>
        </w:tc>
        <w:tc>
          <w:tcPr>
            <w:tcW w:w="2333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right"/>
            </w:pPr>
            <w:r>
              <w:t>700 Ft/nap</w:t>
            </w:r>
          </w:p>
        </w:tc>
      </w:tr>
      <w:tr w:rsidR="008B698C" w:rsidRPr="00FF2607" w:rsidTr="005D6A89">
        <w:tc>
          <w:tcPr>
            <w:tcW w:w="828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</w:pPr>
            <w:r>
              <w:t>3)</w:t>
            </w:r>
          </w:p>
        </w:tc>
        <w:tc>
          <w:tcPr>
            <w:tcW w:w="5580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both"/>
            </w:pPr>
            <w:r>
              <w:t>Személygépkocsik parkírozó helyen kívüli elhelyezése, tehergépjárművek, erőgépek, valamint ezek vontatmányainak elhelyezése 5 tonnáig (gépjárművenként, vontatmányonként)</w:t>
            </w:r>
          </w:p>
        </w:tc>
        <w:tc>
          <w:tcPr>
            <w:tcW w:w="2333" w:type="dxa"/>
            <w:shd w:val="clear" w:color="auto" w:fill="auto"/>
          </w:tcPr>
          <w:p w:rsidR="008B698C" w:rsidRDefault="008B698C" w:rsidP="005D6A89">
            <w:pPr>
              <w:tabs>
                <w:tab w:val="left" w:pos="6237"/>
              </w:tabs>
              <w:jc w:val="right"/>
            </w:pPr>
          </w:p>
          <w:p w:rsidR="008B698C" w:rsidRPr="00FF2607" w:rsidRDefault="008B698C" w:rsidP="005D6A89">
            <w:pPr>
              <w:tabs>
                <w:tab w:val="left" w:pos="6237"/>
              </w:tabs>
              <w:jc w:val="right"/>
            </w:pPr>
            <w:r>
              <w:t>8.000,- Ft/hó</w:t>
            </w:r>
          </w:p>
        </w:tc>
      </w:tr>
      <w:tr w:rsidR="008B698C" w:rsidRPr="00FF2607" w:rsidTr="005D6A89">
        <w:tc>
          <w:tcPr>
            <w:tcW w:w="828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</w:pPr>
            <w:r>
              <w:t>4)</w:t>
            </w:r>
          </w:p>
        </w:tc>
        <w:tc>
          <w:tcPr>
            <w:tcW w:w="5580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both"/>
            </w:pPr>
            <w:r>
              <w:t>Önálló hirdető-berendezés</w:t>
            </w:r>
          </w:p>
        </w:tc>
        <w:tc>
          <w:tcPr>
            <w:tcW w:w="2333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right"/>
            </w:pPr>
            <w:r>
              <w:t>1.000,- Ft/m</w:t>
            </w:r>
            <w:r w:rsidRPr="00145166">
              <w:rPr>
                <w:vertAlign w:val="superscript"/>
              </w:rPr>
              <w:t>2</w:t>
            </w:r>
            <w:r>
              <w:t>/hó</w:t>
            </w:r>
          </w:p>
        </w:tc>
      </w:tr>
      <w:tr w:rsidR="008B698C" w:rsidRPr="00FF2607" w:rsidTr="005D6A89">
        <w:tc>
          <w:tcPr>
            <w:tcW w:w="828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</w:pPr>
            <w:r>
              <w:t>5)</w:t>
            </w:r>
          </w:p>
        </w:tc>
        <w:tc>
          <w:tcPr>
            <w:tcW w:w="5580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both"/>
            </w:pPr>
            <w:r>
              <w:t>Építési munkával kapcsolatos állvány, építőanyag, törmelék, lakásépítésnél, épületjavításnál és egyéb munkáknál</w:t>
            </w:r>
          </w:p>
        </w:tc>
        <w:tc>
          <w:tcPr>
            <w:tcW w:w="2333" w:type="dxa"/>
            <w:shd w:val="clear" w:color="auto" w:fill="auto"/>
          </w:tcPr>
          <w:p w:rsidR="008B698C" w:rsidRDefault="008B698C" w:rsidP="005D6A89">
            <w:pPr>
              <w:tabs>
                <w:tab w:val="left" w:pos="6237"/>
              </w:tabs>
              <w:jc w:val="right"/>
            </w:pPr>
          </w:p>
          <w:p w:rsidR="008B698C" w:rsidRPr="00FF2607" w:rsidRDefault="008B698C" w:rsidP="005D6A89">
            <w:pPr>
              <w:tabs>
                <w:tab w:val="left" w:pos="6237"/>
              </w:tabs>
              <w:jc w:val="right"/>
            </w:pPr>
            <w:r>
              <w:t>500 Ft/m</w:t>
            </w:r>
            <w:r w:rsidRPr="00145166">
              <w:rPr>
                <w:vertAlign w:val="superscript"/>
              </w:rPr>
              <w:t>2</w:t>
            </w:r>
            <w:r>
              <w:t>/hó</w:t>
            </w:r>
          </w:p>
        </w:tc>
      </w:tr>
      <w:tr w:rsidR="008B698C" w:rsidRPr="00FF2607" w:rsidTr="005D6A89">
        <w:tc>
          <w:tcPr>
            <w:tcW w:w="828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</w:pPr>
            <w:r>
              <w:t>6)</w:t>
            </w:r>
          </w:p>
        </w:tc>
        <w:tc>
          <w:tcPr>
            <w:tcW w:w="5580" w:type="dxa"/>
            <w:shd w:val="clear" w:color="auto" w:fill="auto"/>
          </w:tcPr>
          <w:p w:rsidR="008B698C" w:rsidRDefault="008B698C" w:rsidP="005D6A89">
            <w:pPr>
              <w:tabs>
                <w:tab w:val="left" w:pos="6237"/>
              </w:tabs>
              <w:jc w:val="both"/>
            </w:pPr>
            <w:r>
              <w:t>Idényjellegű árusítás (húsvét, karácsony, pünkösd)</w:t>
            </w:r>
          </w:p>
          <w:p w:rsidR="008B698C" w:rsidRPr="00FF2607" w:rsidRDefault="008B698C" w:rsidP="005D6A89">
            <w:pPr>
              <w:tabs>
                <w:tab w:val="left" w:pos="6237"/>
              </w:tabs>
              <w:jc w:val="both"/>
            </w:pPr>
            <w:r>
              <w:t>Kiállítás, vásár, alkalmi vásár</w:t>
            </w:r>
          </w:p>
        </w:tc>
        <w:tc>
          <w:tcPr>
            <w:tcW w:w="2333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right"/>
            </w:pPr>
            <w:r>
              <w:t>700 Ft/nap</w:t>
            </w:r>
          </w:p>
        </w:tc>
      </w:tr>
      <w:tr w:rsidR="008B698C" w:rsidRPr="00FF2607" w:rsidTr="005D6A89">
        <w:tc>
          <w:tcPr>
            <w:tcW w:w="828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</w:pPr>
            <w:r>
              <w:t>7)</w:t>
            </w:r>
          </w:p>
        </w:tc>
        <w:tc>
          <w:tcPr>
            <w:tcW w:w="5580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both"/>
            </w:pPr>
            <w:r>
              <w:t>Mutatványos tevékenység, cirkusz</w:t>
            </w:r>
          </w:p>
        </w:tc>
        <w:tc>
          <w:tcPr>
            <w:tcW w:w="2333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right"/>
            </w:pPr>
            <w:r>
              <w:t>200 Ft/m</w:t>
            </w:r>
            <w:r w:rsidRPr="00145166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8B698C" w:rsidRPr="00FF2607" w:rsidTr="005D6A89">
        <w:tc>
          <w:tcPr>
            <w:tcW w:w="828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</w:pPr>
            <w:r>
              <w:t>8)</w:t>
            </w:r>
          </w:p>
        </w:tc>
        <w:tc>
          <w:tcPr>
            <w:tcW w:w="5580" w:type="dxa"/>
            <w:shd w:val="clear" w:color="auto" w:fill="auto"/>
          </w:tcPr>
          <w:p w:rsidR="008B698C" w:rsidRPr="00FF2607" w:rsidRDefault="008B698C" w:rsidP="005D6A89">
            <w:pPr>
              <w:tabs>
                <w:tab w:val="left" w:pos="6237"/>
              </w:tabs>
              <w:jc w:val="both"/>
            </w:pPr>
            <w:r>
              <w:t>Alkalmi és mozgóárusítás, mozgóárusítás</w:t>
            </w:r>
          </w:p>
        </w:tc>
        <w:tc>
          <w:tcPr>
            <w:tcW w:w="2333" w:type="dxa"/>
            <w:shd w:val="clear" w:color="auto" w:fill="auto"/>
          </w:tcPr>
          <w:p w:rsidR="008B698C" w:rsidRDefault="008B698C" w:rsidP="005D6A89">
            <w:pPr>
              <w:tabs>
                <w:tab w:val="left" w:pos="6237"/>
              </w:tabs>
              <w:jc w:val="right"/>
            </w:pPr>
            <w:r>
              <w:t xml:space="preserve">  500 Ft/nap</w:t>
            </w:r>
          </w:p>
          <w:p w:rsidR="008B698C" w:rsidRPr="00FF2607" w:rsidRDefault="008B698C" w:rsidP="005D6A89">
            <w:pPr>
              <w:tabs>
                <w:tab w:val="left" w:pos="6237"/>
              </w:tabs>
            </w:pPr>
          </w:p>
        </w:tc>
      </w:tr>
      <w:tr w:rsidR="008B698C" w:rsidRPr="00FF2607" w:rsidTr="005D6A89">
        <w:tc>
          <w:tcPr>
            <w:tcW w:w="828" w:type="dxa"/>
            <w:shd w:val="clear" w:color="auto" w:fill="auto"/>
          </w:tcPr>
          <w:p w:rsidR="008B698C" w:rsidRDefault="008B698C" w:rsidP="005D6A89">
            <w:pPr>
              <w:tabs>
                <w:tab w:val="left" w:pos="6237"/>
              </w:tabs>
            </w:pPr>
            <w:r>
              <w:t xml:space="preserve">9)          </w:t>
            </w:r>
          </w:p>
          <w:p w:rsidR="008B698C" w:rsidRDefault="008B698C" w:rsidP="005D6A89">
            <w:pPr>
              <w:tabs>
                <w:tab w:val="left" w:pos="6237"/>
              </w:tabs>
            </w:pPr>
          </w:p>
        </w:tc>
        <w:tc>
          <w:tcPr>
            <w:tcW w:w="5580" w:type="dxa"/>
            <w:shd w:val="clear" w:color="auto" w:fill="auto"/>
          </w:tcPr>
          <w:p w:rsidR="008B698C" w:rsidRDefault="008B698C" w:rsidP="005D6A89">
            <w:pPr>
              <w:tabs>
                <w:tab w:val="left" w:pos="6237"/>
              </w:tabs>
              <w:jc w:val="both"/>
            </w:pPr>
            <w:r>
              <w:t>Egyéb: a díj mértékét – a fentiek figyelembevételével –</w:t>
            </w:r>
          </w:p>
          <w:p w:rsidR="008B698C" w:rsidRDefault="008B698C" w:rsidP="005D6A89">
            <w:pPr>
              <w:tabs>
                <w:tab w:val="left" w:pos="6237"/>
              </w:tabs>
              <w:jc w:val="both"/>
            </w:pPr>
            <w:r>
              <w:t>esetenként kell megállapítani.</w:t>
            </w:r>
          </w:p>
        </w:tc>
        <w:tc>
          <w:tcPr>
            <w:tcW w:w="2333" w:type="dxa"/>
            <w:shd w:val="clear" w:color="auto" w:fill="auto"/>
          </w:tcPr>
          <w:p w:rsidR="008B698C" w:rsidRDefault="008B698C" w:rsidP="005D6A89">
            <w:pPr>
              <w:tabs>
                <w:tab w:val="left" w:pos="6237"/>
              </w:tabs>
              <w:jc w:val="right"/>
            </w:pPr>
          </w:p>
        </w:tc>
      </w:tr>
    </w:tbl>
    <w:p w:rsidR="008B698C" w:rsidRDefault="008B698C" w:rsidP="008B698C">
      <w:pPr>
        <w:tabs>
          <w:tab w:val="left" w:pos="6237"/>
        </w:tabs>
        <w:rPr>
          <w:sz w:val="28"/>
          <w:szCs w:val="28"/>
        </w:rPr>
      </w:pPr>
    </w:p>
    <w:p w:rsidR="008B698C" w:rsidRPr="00696324" w:rsidRDefault="008B698C" w:rsidP="008B698C">
      <w:pPr>
        <w:tabs>
          <w:tab w:val="left" w:pos="6237"/>
        </w:tabs>
      </w:pPr>
      <w:r w:rsidRPr="00696324">
        <w:t xml:space="preserve">A díjak Áfa </w:t>
      </w:r>
      <w:proofErr w:type="gramStart"/>
      <w:r w:rsidRPr="00696324">
        <w:t>nélküliek !</w:t>
      </w:r>
      <w:proofErr w:type="gramEnd"/>
    </w:p>
    <w:p w:rsidR="009A51BA" w:rsidRPr="008B698C" w:rsidRDefault="009A51BA" w:rsidP="008B698C"/>
    <w:sectPr w:rsidR="009A51BA" w:rsidRPr="008B698C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B91" w:rsidRDefault="00DA5B91" w:rsidP="00493359">
      <w:r>
        <w:separator/>
      </w:r>
    </w:p>
  </w:endnote>
  <w:endnote w:type="continuationSeparator" w:id="0">
    <w:p w:rsidR="00DA5B91" w:rsidRDefault="00DA5B91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130EF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DA5B91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130EF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B698C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DA5B91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B91" w:rsidRDefault="00DA5B91" w:rsidP="00493359">
      <w:r>
        <w:separator/>
      </w:r>
    </w:p>
  </w:footnote>
  <w:footnote w:type="continuationSeparator" w:id="0">
    <w:p w:rsidR="00DA5B91" w:rsidRDefault="00DA5B91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130EF4"/>
    <w:rsid w:val="001D7196"/>
    <w:rsid w:val="00493359"/>
    <w:rsid w:val="004B0749"/>
    <w:rsid w:val="007139A3"/>
    <w:rsid w:val="007A179F"/>
    <w:rsid w:val="0080710E"/>
    <w:rsid w:val="008B698C"/>
    <w:rsid w:val="009A51BA"/>
    <w:rsid w:val="00A14DA3"/>
    <w:rsid w:val="00C056C4"/>
    <w:rsid w:val="00DA5B91"/>
    <w:rsid w:val="00F2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980</Characters>
  <Application>Microsoft Office Word</Application>
  <DocSecurity>0</DocSecurity>
  <Lines>8</Lines>
  <Paragraphs>2</Paragraphs>
  <ScaleCrop>false</ScaleCrop>
  <Company>WXPEE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</cp:revision>
  <dcterms:created xsi:type="dcterms:W3CDTF">2015-02-13T08:11:00Z</dcterms:created>
  <dcterms:modified xsi:type="dcterms:W3CDTF">2015-03-11T14:23:00Z</dcterms:modified>
</cp:coreProperties>
</file>