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DF6" w:rsidRDefault="000F3DF6">
      <w:pPr>
        <w:jc w:val="center"/>
      </w:pPr>
    </w:p>
    <w:p w:rsidR="00573FA7" w:rsidRPr="005711E6" w:rsidRDefault="00573FA7" w:rsidP="00573FA7">
      <w:pPr>
        <w:jc w:val="center"/>
        <w:rPr>
          <w:vertAlign w:val="superscript"/>
        </w:rPr>
      </w:pPr>
      <w:r>
        <w:t xml:space="preserve">10. melléklet az önkormányzat 2018. évi költségvetéséről szóló 2/2018.(III.12.) önkormányzati rendelethez </w:t>
      </w:r>
      <w:r>
        <w:rPr>
          <w:vertAlign w:val="superscript"/>
        </w:rPr>
        <w:t>10</w:t>
      </w:r>
    </w:p>
    <w:p w:rsidR="000F3DF6" w:rsidRDefault="00573FA7" w:rsidP="00573FA7">
      <w:pPr>
        <w:jc w:val="center"/>
      </w:pPr>
      <w:r>
        <w:t xml:space="preserve"> </w:t>
      </w:r>
    </w:p>
    <w:p w:rsidR="000F3DF6" w:rsidRDefault="000F3DF6"/>
    <w:p w:rsidR="000F3DF6" w:rsidRDefault="008D7E1F">
      <w:pPr>
        <w:pStyle w:val="Cmsor1"/>
        <w:rPr>
          <w:szCs w:val="28"/>
        </w:rPr>
      </w:pPr>
      <w:r>
        <w:t>Csorvás Város Önkormányzatának</w:t>
      </w:r>
    </w:p>
    <w:p w:rsidR="000F3DF6" w:rsidRDefault="008D7E1F">
      <w:pPr>
        <w:pStyle w:val="Cmsor1"/>
        <w:rPr>
          <w:szCs w:val="28"/>
        </w:rPr>
      </w:pPr>
      <w:r>
        <w:t xml:space="preserve"> 2018. évi </w:t>
      </w:r>
    </w:p>
    <w:p w:rsidR="000F3DF6" w:rsidRDefault="008D7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működési  célú pénzeszköz átadásai ÁHT-n </w:t>
      </w:r>
    </w:p>
    <w:p w:rsidR="000F3DF6" w:rsidRDefault="008D7E1F">
      <w:pPr>
        <w:jc w:val="center"/>
        <w:rPr>
          <w:b/>
          <w:bCs/>
        </w:rPr>
      </w:pPr>
      <w:r>
        <w:rPr>
          <w:b/>
          <w:sz w:val="28"/>
          <w:szCs w:val="28"/>
        </w:rPr>
        <w:t>belülre és kívülre</w:t>
      </w:r>
    </w:p>
    <w:p w:rsidR="000F3DF6" w:rsidRDefault="000F3DF6">
      <w:pPr>
        <w:rPr>
          <w:b/>
          <w:bCs/>
        </w:rPr>
      </w:pPr>
    </w:p>
    <w:p w:rsidR="000F3DF6" w:rsidRDefault="000F3DF6">
      <w:pPr>
        <w:rPr>
          <w:b/>
          <w:bCs/>
        </w:rPr>
      </w:pPr>
    </w:p>
    <w:p w:rsidR="000F3DF6" w:rsidRDefault="008D7E1F">
      <w:pPr>
        <w:jc w:val="right"/>
      </w:pPr>
      <w:r>
        <w:t>adatok ezer Ft</w:t>
      </w:r>
    </w:p>
    <w:tbl>
      <w:tblPr>
        <w:tblW w:w="9302" w:type="dxa"/>
        <w:tblInd w:w="-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5220"/>
        <w:gridCol w:w="3472"/>
      </w:tblGrid>
      <w:tr w:rsidR="000F3DF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0F3DF6">
            <w:pPr>
              <w:pStyle w:val="Cmsor1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pStyle w:val="Cmsor1"/>
            </w:pPr>
            <w:r>
              <w:t>A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pStyle w:val="Cmsor1"/>
            </w:pPr>
            <w:r>
              <w:t>B</w:t>
            </w:r>
          </w:p>
        </w:tc>
      </w:tr>
      <w:tr w:rsidR="000F3DF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pStyle w:val="Cmsor1"/>
            </w:pPr>
            <w: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pStyle w:val="Cmsor1"/>
            </w:pPr>
            <w:r>
              <w:t>Megnevezés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pStyle w:val="Cmsor1"/>
            </w:pPr>
            <w:r>
              <w:t>Összeg</w:t>
            </w:r>
          </w:p>
        </w:tc>
      </w:tr>
      <w:tr w:rsidR="000F3DF6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Csorvási Sportkör támogatása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ind w:left="830" w:hanging="830"/>
              <w:jc w:val="center"/>
            </w:pPr>
            <w:r>
              <w:rPr>
                <w:sz w:val="28"/>
              </w:rPr>
              <w:t>800</w:t>
            </w:r>
          </w:p>
        </w:tc>
      </w:tr>
      <w:tr w:rsidR="000F3DF6"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Csorvási Fúvószenekar és Majorette Alapítvány támogatása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ind w:left="830" w:hanging="830"/>
              <w:jc w:val="center"/>
            </w:pPr>
            <w:r>
              <w:rPr>
                <w:sz w:val="28"/>
              </w:rPr>
              <w:t>700</w:t>
            </w:r>
          </w:p>
        </w:tc>
      </w:tr>
      <w:tr w:rsidR="000F3DF6"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Iskolaegészségügyi támogatás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238</w:t>
            </w:r>
          </w:p>
        </w:tc>
      </w:tr>
      <w:tr w:rsidR="000F3DF6"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Központi Ügyelet támogatása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  <w:szCs w:val="28"/>
              </w:rPr>
              <w:t>2.570</w:t>
            </w:r>
          </w:p>
        </w:tc>
      </w:tr>
      <w:tr w:rsidR="000F3DF6"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Közművelődési, könyvtári és sportfeladatok támogatása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23.936</w:t>
            </w:r>
          </w:p>
        </w:tc>
      </w:tr>
      <w:tr w:rsidR="000F3DF6"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Családsegítő és gyermekjóléti szolgálat működtetésének támogatása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3.110</w:t>
            </w:r>
          </w:p>
        </w:tc>
      </w:tr>
      <w:tr w:rsidR="000F3DF6"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Orosházi Kistérségi társulás tagdíj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780</w:t>
            </w:r>
          </w:p>
        </w:tc>
      </w:tr>
      <w:tr w:rsidR="000F3DF6"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DAREH működési hozzájárulás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350</w:t>
            </w:r>
          </w:p>
        </w:tc>
      </w:tr>
      <w:tr w:rsidR="000F3DF6"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Közép-Békési Térség Ivóvízminőség-javító Önkormányzati működési hozzájárulás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120</w:t>
            </w:r>
          </w:p>
        </w:tc>
      </w:tr>
      <w:tr w:rsidR="000F3DF6"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tabs>
                <w:tab w:val="center" w:pos="235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  <w:t>11.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Bursa Hungarica ösztöndíj pályázat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</w:tr>
      <w:tr w:rsidR="000F3DF6"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tabs>
                <w:tab w:val="center" w:pos="235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Könyvtár állománygyarapítás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283</w:t>
            </w:r>
          </w:p>
        </w:tc>
      </w:tr>
      <w:tr w:rsidR="000F3DF6">
        <w:trPr>
          <w:trHeight w:val="3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Evangélikus Egyház támogatása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0F3DF6">
        <w:trPr>
          <w:trHeight w:val="3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Elvonások, befizetések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1506</w:t>
            </w:r>
          </w:p>
        </w:tc>
      </w:tr>
      <w:tr w:rsidR="000F3DF6">
        <w:trPr>
          <w:trHeight w:val="3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Működési célú pénzeszköz átadás: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</w:pPr>
            <w:r>
              <w:rPr>
                <w:sz w:val="28"/>
              </w:rPr>
              <w:t xml:space="preserve">                  </w:t>
            </w:r>
            <w:r>
              <w:rPr>
                <w:b/>
                <w:sz w:val="28"/>
              </w:rPr>
              <w:t>35.293</w:t>
            </w:r>
          </w:p>
        </w:tc>
      </w:tr>
      <w:tr w:rsidR="000F3DF6">
        <w:trPr>
          <w:trHeight w:val="233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16.</w:t>
            </w:r>
          </w:p>
          <w:p w:rsidR="000F3DF6" w:rsidRDefault="000F3DF6">
            <w:pPr>
              <w:jc w:val="center"/>
              <w:rPr>
                <w:b/>
                <w:sz w:val="28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Közvetett támogatások</w:t>
            </w:r>
          </w:p>
          <w:p w:rsidR="000F3DF6" w:rsidRDefault="008D7E1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A helyi iparűzési adóról szóló 19/1995. (XII.29.) rendelet 4.§ (2) bekezdése szerint a 2017. május 31-ig benyújtandó és feldolgozandó bevallások alapján a várható kedvezmény:</w:t>
            </w:r>
          </w:p>
          <w:p w:rsidR="000F3DF6" w:rsidRDefault="008D7E1F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500 e Ft-ot el nem érő adóalap adókedvezménye: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8D7E1F">
            <w:pPr>
              <w:jc w:val="center"/>
            </w:pPr>
            <w:r>
              <w:rPr>
                <w:bCs/>
                <w:sz w:val="28"/>
              </w:rPr>
              <w:t>300</w:t>
            </w:r>
          </w:p>
        </w:tc>
      </w:tr>
    </w:tbl>
    <w:p w:rsidR="0016115E" w:rsidRDefault="0016115E"/>
    <w:p w:rsidR="00573FA7" w:rsidRDefault="00573FA7" w:rsidP="00573FA7">
      <w:pPr>
        <w:jc w:val="both"/>
      </w:pPr>
      <w:r>
        <w:rPr>
          <w:vertAlign w:val="superscript"/>
        </w:rPr>
        <w:t>10</w:t>
      </w:r>
      <w:r>
        <w:t xml:space="preserve"> Módosította az önkormányzat 2018. évi költségvetéséről szóló 2/2018.(III.12.) önkormányzati rendelet módosításáról szóló </w:t>
      </w:r>
      <w:r>
        <w:t>2</w:t>
      </w:r>
      <w:r>
        <w:t>/201</w:t>
      </w:r>
      <w:r>
        <w:t>9</w:t>
      </w:r>
      <w:r>
        <w:t>.(</w:t>
      </w:r>
      <w:r>
        <w:t>II.28.</w:t>
      </w:r>
      <w:r>
        <w:t>) önkormányzati rendelet</w:t>
      </w:r>
      <w:r>
        <w:t xml:space="preserve"> 1</w:t>
      </w:r>
      <w:r>
        <w:t>. §-a. Hatályos: 201</w:t>
      </w:r>
      <w:r>
        <w:t>9</w:t>
      </w:r>
      <w:r>
        <w:t>.</w:t>
      </w:r>
      <w:r>
        <w:t xml:space="preserve"> III. 1.</w:t>
      </w:r>
      <w:r>
        <w:t>-t</w:t>
      </w:r>
      <w:r>
        <w:t>ő</w:t>
      </w:r>
      <w:r>
        <w:t>l.</w:t>
      </w:r>
      <w:bookmarkStart w:id="0" w:name="_GoBack"/>
      <w:bookmarkEnd w:id="0"/>
    </w:p>
    <w:sectPr w:rsidR="00573FA7"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7766E"/>
    <w:multiLevelType w:val="hybridMultilevel"/>
    <w:tmpl w:val="6CBCCC6E"/>
    <w:lvl w:ilvl="0" w:tplc="3D4CEC9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ECE1C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3BE77E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F9050A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7C61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1E04BF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1F6F07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12A796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C4C35F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764552E"/>
    <w:multiLevelType w:val="hybridMultilevel"/>
    <w:tmpl w:val="07D01DB6"/>
    <w:name w:val="WW8Num1"/>
    <w:lvl w:ilvl="0" w:tplc="46C8C9F8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 w:tplc="ABA0846E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 w:tplc="019ABC2E">
      <w:start w:val="1"/>
      <w:numFmt w:val="none"/>
      <w:suff w:val="nothing"/>
      <w:lvlText w:val=""/>
      <w:lvlJc w:val="left"/>
      <w:pPr>
        <w:ind w:left="0" w:firstLine="0"/>
      </w:pPr>
    </w:lvl>
    <w:lvl w:ilvl="3" w:tplc="B5761B0E">
      <w:start w:val="1"/>
      <w:numFmt w:val="none"/>
      <w:suff w:val="nothing"/>
      <w:lvlText w:val=""/>
      <w:lvlJc w:val="left"/>
      <w:pPr>
        <w:ind w:left="0" w:firstLine="0"/>
      </w:pPr>
    </w:lvl>
    <w:lvl w:ilvl="4" w:tplc="48AE8792">
      <w:start w:val="1"/>
      <w:numFmt w:val="none"/>
      <w:suff w:val="nothing"/>
      <w:lvlText w:val=""/>
      <w:lvlJc w:val="left"/>
      <w:pPr>
        <w:ind w:left="0" w:firstLine="0"/>
      </w:pPr>
    </w:lvl>
    <w:lvl w:ilvl="5" w:tplc="55D08CAC">
      <w:start w:val="1"/>
      <w:numFmt w:val="none"/>
      <w:suff w:val="nothing"/>
      <w:lvlText w:val=""/>
      <w:lvlJc w:val="left"/>
      <w:pPr>
        <w:ind w:left="0" w:firstLine="0"/>
      </w:pPr>
    </w:lvl>
    <w:lvl w:ilvl="6" w:tplc="35CAF8E4">
      <w:start w:val="1"/>
      <w:numFmt w:val="none"/>
      <w:suff w:val="nothing"/>
      <w:lvlText w:val=""/>
      <w:lvlJc w:val="left"/>
      <w:pPr>
        <w:ind w:left="0" w:firstLine="0"/>
      </w:pPr>
    </w:lvl>
    <w:lvl w:ilvl="7" w:tplc="0924FADE">
      <w:start w:val="1"/>
      <w:numFmt w:val="none"/>
      <w:suff w:val="nothing"/>
      <w:lvlText w:val=""/>
      <w:lvlJc w:val="left"/>
      <w:pPr>
        <w:ind w:left="0" w:firstLine="0"/>
      </w:pPr>
    </w:lvl>
    <w:lvl w:ilvl="8" w:tplc="B57A9FD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6"/>
    <w:rsid w:val="000F3DF6"/>
    <w:rsid w:val="0016115E"/>
    <w:rsid w:val="00573FA7"/>
    <w:rsid w:val="005C17D2"/>
    <w:rsid w:val="007971BF"/>
    <w:rsid w:val="008A46A7"/>
    <w:rsid w:val="008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3EA2"/>
  <w15:docId w15:val="{2A504224-4E71-4C4B-B65A-D7628F47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tabs>
        <w:tab w:val="left" w:pos="0"/>
      </w:tabs>
      <w:ind w:left="576" w:hanging="576"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-bettpusa2">
    <w:name w:val="Bekezdés alap-betűtípusa2"/>
  </w:style>
  <w:style w:type="character" w:customStyle="1" w:styleId="Bekezdsalap-bettpusa1">
    <w:name w:val="Bekezdés alap-betűtípus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arany</dc:creator>
  <cp:keywords/>
  <dc:description/>
  <cp:lastModifiedBy>Molnar</cp:lastModifiedBy>
  <cp:revision>2</cp:revision>
  <cp:lastPrinted>2018-02-20T07:10:00Z</cp:lastPrinted>
  <dcterms:created xsi:type="dcterms:W3CDTF">2019-04-02T11:12:00Z</dcterms:created>
  <dcterms:modified xsi:type="dcterms:W3CDTF">2019-04-02T11:12:00Z</dcterms:modified>
</cp:coreProperties>
</file>