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C4" w:rsidRPr="004002C4" w:rsidRDefault="00CC686B" w:rsidP="008A3F6C">
      <w:pPr>
        <w:tabs>
          <w:tab w:val="center" w:pos="5940"/>
        </w:tabs>
        <w:jc w:val="right"/>
        <w:rPr>
          <w:b w:val="0"/>
        </w:rPr>
      </w:pPr>
      <w:r>
        <w:rPr>
          <w:rFonts w:eastAsia="Batang"/>
          <w:b w:val="0"/>
          <w:lang w:eastAsia="ko-KR"/>
        </w:rPr>
        <w:t>1. melléklet az 5</w:t>
      </w:r>
      <w:r w:rsidR="004002C4" w:rsidRPr="004002C4">
        <w:rPr>
          <w:rFonts w:eastAsia="Batang"/>
          <w:b w:val="0"/>
          <w:lang w:eastAsia="ko-KR"/>
        </w:rPr>
        <w:t>/201</w:t>
      </w:r>
      <w:r w:rsidR="00F00854">
        <w:rPr>
          <w:rFonts w:eastAsia="Batang"/>
          <w:b w:val="0"/>
          <w:lang w:eastAsia="ko-KR"/>
        </w:rPr>
        <w:t>3.(</w:t>
      </w:r>
      <w:r>
        <w:rPr>
          <w:rFonts w:eastAsia="Batang"/>
          <w:b w:val="0"/>
          <w:lang w:eastAsia="ko-KR"/>
        </w:rPr>
        <w:t>II</w:t>
      </w:r>
      <w:r w:rsidR="004002C4" w:rsidRPr="004002C4">
        <w:rPr>
          <w:rFonts w:eastAsia="Batang"/>
          <w:b w:val="0"/>
          <w:lang w:eastAsia="ko-KR"/>
        </w:rPr>
        <w:t>.</w:t>
      </w:r>
      <w:r>
        <w:rPr>
          <w:rFonts w:eastAsia="Batang"/>
          <w:b w:val="0"/>
          <w:lang w:eastAsia="ko-KR"/>
        </w:rPr>
        <w:t>28.</w:t>
      </w:r>
      <w:r w:rsidR="004002C4" w:rsidRPr="004002C4">
        <w:rPr>
          <w:rFonts w:eastAsia="Batang"/>
          <w:b w:val="0"/>
          <w:lang w:eastAsia="ko-KR"/>
        </w:rPr>
        <w:t>) önkormányzati rendelethez</w:t>
      </w:r>
    </w:p>
    <w:p w:rsidR="009163AB" w:rsidRDefault="009163AB" w:rsidP="009163AB">
      <w:pPr>
        <w:spacing w:before="120" w:after="120"/>
        <w:ind w:left="360"/>
        <w:jc w:val="center"/>
        <w:rPr>
          <w:b w:val="0"/>
        </w:rPr>
      </w:pPr>
    </w:p>
    <w:p w:rsidR="009163AB" w:rsidRDefault="009163AB" w:rsidP="009163AB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3F706F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Hrsz: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06F" w:rsidRPr="00EC6087" w:rsidRDefault="003F706F" w:rsidP="00A2043A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BB425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 Zrt.-ben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3F706F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706F" w:rsidRDefault="00BB425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JÓSZÍV</w:t>
            </w:r>
            <w:r w:rsidRPr="00193774">
              <w:rPr>
                <w:b w:val="0"/>
              </w:rPr>
              <w:t xml:space="preserve"> Temetkezési Szolgáltató és Kereskedelmi Kft-ben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Default="003F706F" w:rsidP="00A2043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6F" w:rsidRPr="003F5571" w:rsidRDefault="003F706F" w:rsidP="00A2043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D45B81" w:rsidRPr="004002C4" w:rsidRDefault="00D45B81" w:rsidP="009163AB">
      <w:pPr>
        <w:tabs>
          <w:tab w:val="center" w:pos="5940"/>
        </w:tabs>
        <w:rPr>
          <w:b w:val="0"/>
          <w:color w:val="auto"/>
          <w:szCs w:val="24"/>
        </w:rPr>
      </w:pPr>
    </w:p>
    <w:p w:rsidR="00D45B81" w:rsidRPr="004002C4" w:rsidRDefault="00D45B81" w:rsidP="00D45B81">
      <w:pPr>
        <w:jc w:val="right"/>
        <w:rPr>
          <w:b w:val="0"/>
        </w:rPr>
      </w:pPr>
      <w:r>
        <w:rPr>
          <w:b w:val="0"/>
        </w:rPr>
        <w:br w:type="page"/>
      </w:r>
      <w:r w:rsidRPr="004002C4">
        <w:rPr>
          <w:b w:val="0"/>
        </w:rPr>
        <w:lastRenderedPageBreak/>
        <w:t>2</w:t>
      </w:r>
      <w:r>
        <w:rPr>
          <w:rFonts w:eastAsia="Batang"/>
          <w:b w:val="0"/>
          <w:lang w:eastAsia="ko-KR"/>
        </w:rPr>
        <w:t>. melléklet a</w:t>
      </w:r>
      <w:r w:rsidR="00CC686B">
        <w:rPr>
          <w:rFonts w:eastAsia="Batang"/>
          <w:b w:val="0"/>
          <w:lang w:eastAsia="ko-KR"/>
        </w:rPr>
        <w:t>z</w:t>
      </w:r>
      <w:r>
        <w:rPr>
          <w:rFonts w:eastAsia="Batang"/>
          <w:b w:val="0"/>
          <w:lang w:eastAsia="ko-KR"/>
        </w:rPr>
        <w:t xml:space="preserve"> </w:t>
      </w:r>
      <w:r w:rsidR="00CC686B">
        <w:rPr>
          <w:rFonts w:eastAsia="Batang"/>
          <w:b w:val="0"/>
          <w:lang w:eastAsia="ko-KR"/>
        </w:rPr>
        <w:t>5</w:t>
      </w:r>
      <w:r w:rsidR="00CC686B" w:rsidRPr="004002C4">
        <w:rPr>
          <w:rFonts w:eastAsia="Batang"/>
          <w:b w:val="0"/>
          <w:lang w:eastAsia="ko-KR"/>
        </w:rPr>
        <w:t>/201</w:t>
      </w:r>
      <w:r w:rsidR="00CC686B">
        <w:rPr>
          <w:rFonts w:eastAsia="Batang"/>
          <w:b w:val="0"/>
          <w:lang w:eastAsia="ko-KR"/>
        </w:rPr>
        <w:t>3.(II</w:t>
      </w:r>
      <w:r w:rsidR="00CC686B" w:rsidRPr="004002C4">
        <w:rPr>
          <w:rFonts w:eastAsia="Batang"/>
          <w:b w:val="0"/>
          <w:lang w:eastAsia="ko-KR"/>
        </w:rPr>
        <w:t>.</w:t>
      </w:r>
      <w:r w:rsidR="00CC686B">
        <w:rPr>
          <w:rFonts w:eastAsia="Batang"/>
          <w:b w:val="0"/>
          <w:lang w:eastAsia="ko-KR"/>
        </w:rPr>
        <w:t>28.</w:t>
      </w:r>
      <w:r w:rsidR="00CC686B" w:rsidRPr="004002C4">
        <w:rPr>
          <w:rFonts w:eastAsia="Batang"/>
          <w:b w:val="0"/>
          <w:lang w:eastAsia="ko-KR"/>
        </w:rPr>
        <w:t xml:space="preserve">) </w:t>
      </w:r>
      <w:r w:rsidRPr="004002C4">
        <w:rPr>
          <w:rFonts w:eastAsia="Batang"/>
          <w:b w:val="0"/>
          <w:lang w:eastAsia="ko-KR"/>
        </w:rPr>
        <w:t>önkormányzati rendelethez</w:t>
      </w:r>
    </w:p>
    <w:p w:rsidR="00D30783" w:rsidRDefault="00D30783" w:rsidP="004002C4">
      <w:pPr>
        <w:spacing w:before="120" w:after="120"/>
        <w:ind w:left="360"/>
        <w:rPr>
          <w:b w:val="0"/>
        </w:rPr>
      </w:pPr>
    </w:p>
    <w:tbl>
      <w:tblPr>
        <w:tblW w:w="9061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628"/>
        <w:gridCol w:w="1090"/>
        <w:gridCol w:w="329"/>
        <w:gridCol w:w="1321"/>
      </w:tblGrid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45B81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>
              <w:rPr>
                <w:rFonts w:eastAsia="Batang"/>
                <w:bCs/>
                <w:color w:val="auto"/>
                <w:szCs w:val="24"/>
                <w:lang w:eastAsia="ko-KR"/>
              </w:rPr>
              <w:t>Korlátozottan forgalomképes</w:t>
            </w:r>
            <w:r w:rsidR="00D30783" w:rsidRPr="003F5571">
              <w:rPr>
                <w:rFonts w:eastAsia="Batang"/>
                <w:bCs/>
                <w:color w:val="auto"/>
                <w:szCs w:val="24"/>
                <w:lang w:eastAsia="ko-KR"/>
              </w:rPr>
              <w:t xml:space="preserve"> vagyon</w:t>
            </w: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D30783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6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Hrsz:</w:t>
            </w:r>
          </w:p>
        </w:tc>
        <w:tc>
          <w:tcPr>
            <w:tcW w:w="3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0783" w:rsidRPr="00EC6087" w:rsidRDefault="00D30783" w:rsidP="006B2B0A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20546A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Orvosi rendelő</w:t>
            </w:r>
          </w:p>
        </w:tc>
        <w:tc>
          <w:tcPr>
            <w:tcW w:w="362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BB425F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Tárnokréti</w:t>
            </w:r>
            <w:r w:rsidR="0020546A"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, </w:t>
            </w:r>
            <w:r w:rsidR="004D392B">
              <w:rPr>
                <w:rFonts w:eastAsia="Batang"/>
                <w:b w:val="0"/>
                <w:color w:val="auto"/>
                <w:szCs w:val="24"/>
                <w:lang w:eastAsia="ko-KR"/>
              </w:rPr>
              <w:t>Fő u. 63</w:t>
            </w:r>
            <w:r w:rsidR="0020546A">
              <w:rPr>
                <w:rFonts w:eastAsia="Batang"/>
                <w:b w:val="0"/>
                <w:color w:val="auto"/>
                <w:szCs w:val="24"/>
                <w:lang w:eastAsia="ko-KR"/>
              </w:rPr>
              <w:t>.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5.</w:t>
            </w:r>
          </w:p>
        </w:tc>
        <w:tc>
          <w:tcPr>
            <w:tcW w:w="3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Falumúzeum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Tárnokréti, Fő u. 84.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125.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Multifunkcionális közösségi ház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Tárnokréti, Fő u. 24.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4D392B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63.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30783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83" w:rsidRPr="003F5571" w:rsidRDefault="00D30783" w:rsidP="006B2B0A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572645" w:rsidRDefault="00572645" w:rsidP="00D45B81">
      <w:pPr>
        <w:jc w:val="right"/>
        <w:rPr>
          <w:b w:val="0"/>
          <w:sz w:val="26"/>
          <w:szCs w:val="26"/>
        </w:rPr>
      </w:pPr>
    </w:p>
    <w:p w:rsidR="004002C4" w:rsidRPr="004002C4" w:rsidRDefault="00D45B81" w:rsidP="00D45B81">
      <w:pPr>
        <w:jc w:val="right"/>
        <w:rPr>
          <w:b w:val="0"/>
        </w:rPr>
      </w:pPr>
      <w:r>
        <w:rPr>
          <w:b w:val="0"/>
          <w:sz w:val="26"/>
          <w:szCs w:val="26"/>
        </w:rPr>
        <w:br w:type="page"/>
      </w:r>
      <w:r>
        <w:rPr>
          <w:b w:val="0"/>
        </w:rPr>
        <w:lastRenderedPageBreak/>
        <w:t>3</w:t>
      </w:r>
      <w:r w:rsidR="004002C4" w:rsidRPr="004002C4">
        <w:rPr>
          <w:b w:val="0"/>
        </w:rPr>
        <w:t xml:space="preserve">. melléklet </w:t>
      </w:r>
      <w:r w:rsidR="00CC686B">
        <w:rPr>
          <w:b w:val="0"/>
        </w:rPr>
        <w:t xml:space="preserve">az </w:t>
      </w:r>
      <w:r w:rsidR="00CC686B">
        <w:rPr>
          <w:rFonts w:eastAsia="Batang"/>
          <w:b w:val="0"/>
          <w:lang w:eastAsia="ko-KR"/>
        </w:rPr>
        <w:t>5</w:t>
      </w:r>
      <w:r w:rsidR="00CC686B" w:rsidRPr="004002C4">
        <w:rPr>
          <w:rFonts w:eastAsia="Batang"/>
          <w:b w:val="0"/>
          <w:lang w:eastAsia="ko-KR"/>
        </w:rPr>
        <w:t>/201</w:t>
      </w:r>
      <w:r w:rsidR="00CC686B">
        <w:rPr>
          <w:rFonts w:eastAsia="Batang"/>
          <w:b w:val="0"/>
          <w:lang w:eastAsia="ko-KR"/>
        </w:rPr>
        <w:t>3.(II</w:t>
      </w:r>
      <w:r w:rsidR="00CC686B" w:rsidRPr="004002C4">
        <w:rPr>
          <w:rFonts w:eastAsia="Batang"/>
          <w:b w:val="0"/>
          <w:lang w:eastAsia="ko-KR"/>
        </w:rPr>
        <w:t>.</w:t>
      </w:r>
      <w:r w:rsidR="00CC686B">
        <w:rPr>
          <w:rFonts w:eastAsia="Batang"/>
          <w:b w:val="0"/>
          <w:lang w:eastAsia="ko-KR"/>
        </w:rPr>
        <w:t>28.</w:t>
      </w:r>
      <w:r w:rsidR="00CC686B" w:rsidRPr="004002C4">
        <w:rPr>
          <w:rFonts w:eastAsia="Batang"/>
          <w:b w:val="0"/>
          <w:lang w:eastAsia="ko-KR"/>
        </w:rPr>
        <w:t xml:space="preserve">) </w:t>
      </w:r>
      <w:r>
        <w:rPr>
          <w:b w:val="0"/>
        </w:rPr>
        <w:t xml:space="preserve">önkormányzati </w:t>
      </w:r>
      <w:r w:rsidR="004002C4" w:rsidRPr="004002C4">
        <w:rPr>
          <w:b w:val="0"/>
        </w:rPr>
        <w:t>rendelethez</w:t>
      </w:r>
    </w:p>
    <w:p w:rsidR="004002C4" w:rsidRPr="004002C4" w:rsidRDefault="004002C4" w:rsidP="004002C4">
      <w:pPr>
        <w:jc w:val="both"/>
        <w:rPr>
          <w:b w:val="0"/>
        </w:rPr>
      </w:pPr>
    </w:p>
    <w:p w:rsidR="004002C4" w:rsidRPr="004002C4" w:rsidRDefault="004002C4" w:rsidP="004002C4">
      <w:pPr>
        <w:jc w:val="center"/>
        <w:rPr>
          <w:b w:val="0"/>
        </w:rPr>
      </w:pPr>
      <w:r w:rsidRPr="004002C4">
        <w:rPr>
          <w:b w:val="0"/>
        </w:rPr>
        <w:t>VERSENYEZTETÉSI SZABÁLYZAT</w:t>
      </w:r>
    </w:p>
    <w:p w:rsidR="004002C4" w:rsidRPr="004002C4" w:rsidRDefault="004002C4" w:rsidP="004002C4">
      <w:pPr>
        <w:jc w:val="both"/>
        <w:rPr>
          <w:b w:val="0"/>
        </w:rPr>
      </w:pP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önkormányzati vagyon értékesítése, hasznosítása a törvényben illetve az önkormányzati rendeletben meghatározott kivételekkel versenyeztetési eljárás alkalmazásával történik.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kiíró a pályázati felhívásban valamennyi ajánlattevő pályázó számára egyenlő esélyt köteles biztosítani.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pályázati eljárás során a kiíró köteles a pályázati eljárásban résztvevők számára teljes nyilvánosságot biztosítani. Ennek keretében a pályázó számára hozzáférhetővé kell tenni minden olyan adatot, amely nem sért üzleti titkot és szükséges ahhoz, hogy a pályázónak lehetősége nyíljék a megalapozott ajánlattételre.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versenyeztetés megvalósulhat nyilvános vagy zártkörű (meghívásos) pályázati eljárás, illetve árverés (licitálás) útján.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Zártkörű pályázatot kell kiírni, ha a nyilvános pályázat közérdeket sért, továbbá ha a teljesítésre csak meghatározott ajánlattevők alkalmasak. A zártkörű pályázat meghirdetéséről a képviselő-testület dönt.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 (licitálás) az ingatlan és ingó vagyon értékesítésének, hasznosításának nyilvános, a pályázók részvételével megvalósuló versenyeztetése, melynek során a vételár a nyilvános liciten kialkudott legmagasabb ajánlati ár.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önkormányzat esetenként dönt, hogy a 4.) pontban megjelölt versenyeztetés melyik formáját választja. Továbbá – esetenként – dönthet arról is, hogy a versenyeztetési eljárás nélkül elidegeníthető vagy hasznosítható vagyontárgyakat versenyeztetési eljárás keretében értékesíti, hasznosítja.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pályázatot a 7.) pontban meghatározott képviselő-testületi döntés alapján a polgármester írja ki. A pályázatot két fordulóban is meg lehet hirdetni. A második fordulóban a kiválasztott ajánlattevők ez első fordulóban vállalt feltételekkel vesznek részt.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kiíró az első fordulóban olyan adatokat tartalmazó ajánlatokat is kérhet, melyekből megtudja állapítani, hogy az ajánlattevő teljesítőképessége, eddigi teljesítménye, szakismerete valamint megbízhatósága és pénzügyi helyzete alapján alkalmas-e a felhívásban megjelölt kötelezettség teljesítésére.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 xml:space="preserve">A nyilvános pályázatot, továbbá az árverési hirdetményt a község hirdetőtábláin és az önkormányzat honlapján közzé kell tenni, valamint a megyei napilapban is megjelentethető. 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zártkörű pályázatról legalább kettő ajánlattevőt egyidejűleg és közvetlenül kell értesíteni a pályázati felhívás megküldésével.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pályázatok benyújtására vonatkozó időpontot a felhívásban úgy kell meghatározni, hogy a felhívás közzététele és az ajánlatok benyújtására vonatkozó időpont között legalább 15 nap különbség legyen.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pályázati felhívásnak tartalmaznia kell: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pályázatot kiíró szerv megnevezését, székhelyét,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pályázat célját, jellegét,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az értékesítendő, hasznosítandó vagyon megnevezését, forgalmi érték és az értékesítéshez szükséges információkat,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lastRenderedPageBreak/>
        <w:t>az ajánlat benyújtására, felbontási helyére és idejére valamint az elbírálásra vonatkozó időpontokat és szempontokat,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pályázati eljárásra vonatkozó információszerzés helyét,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pályázati biztosíték fizetésére vonatkozó feltételeket,</w:t>
      </w:r>
    </w:p>
    <w:p w:rsidR="004002C4" w:rsidRPr="004002C4" w:rsidRDefault="004002C4" w:rsidP="00C646C6">
      <w:pPr>
        <w:numPr>
          <w:ilvl w:val="0"/>
          <w:numId w:val="2"/>
        </w:numPr>
        <w:tabs>
          <w:tab w:val="clear" w:pos="720"/>
          <w:tab w:val="num" w:pos="1080"/>
        </w:tabs>
        <w:ind w:left="1077" w:hanging="357"/>
        <w:jc w:val="both"/>
        <w:rPr>
          <w:b w:val="0"/>
        </w:rPr>
      </w:pPr>
      <w:r w:rsidRPr="004002C4">
        <w:rPr>
          <w:b w:val="0"/>
        </w:rPr>
        <w:t>a vagyontárgy jellege szerint szükséges további információkat,</w:t>
      </w:r>
    </w:p>
    <w:p w:rsidR="004002C4" w:rsidRPr="004002C4" w:rsidRDefault="004002C4" w:rsidP="004002C4">
      <w:pPr>
        <w:ind w:left="720"/>
        <w:jc w:val="both"/>
        <w:rPr>
          <w:b w:val="0"/>
        </w:rPr>
      </w:pP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pályázati kiírás az ajánlatok benyújtására megjelölt időpontig visszavonható, amelyet a felhívással azonos módon kell közzétenni.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kiírás visszavonása esetén – ha a részletes dokumentáció rendelkezésre bocsátása ellenérték fejében történt – az ellenérték visszajár, az ajánlattevők pedig a dokumentáció visszaadására kötelesek.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érvényes pályázatokat a képviselő-testület, szükség esetén szakértő közreműködésével bírálja el. Az elbírálásnál a legkedvezőbb feltételeket kínáló ajánlat mellett kell dönteni. A pályázat elbírálásáról jegyzőkönyvet kell készíteni, amely tartalmazza: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 pályázati eljárás adatait,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 beérkezett érvényes és érvénytelen ajánlatokat,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 legkedvezőbb ajánlat elfogadásának indokait.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 kiíró az ajánlatok elbírálására vonatkozó döntést a pályázati kiírásban meghatározott időpontban és módon kihirdeti. Zártkörű pályáztatás esetén a döntést a pályázatban résztvevőkkel közvetlenül ismertetni kell.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Árverés esetén az árverési hirdetményben meg kell jelölni: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 helyét és időpontját,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árverésre kerülő vagyontárgyra vonatkozó információt,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árverésre kerülő ingó, illetve ingatlan megtekintési lehetőségét,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áremelés alsó és felső határát,</w:t>
      </w:r>
    </w:p>
    <w:p w:rsidR="004002C4" w:rsidRPr="004002C4" w:rsidRDefault="004002C4" w:rsidP="00C646C6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jc w:val="both"/>
        <w:rPr>
          <w:b w:val="0"/>
        </w:rPr>
      </w:pPr>
      <w:r w:rsidRPr="004002C4">
        <w:rPr>
          <w:b w:val="0"/>
        </w:rPr>
        <w:t>az árverési előlegre vonatkozó adatokat.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árverési hirdetmény az árverés időpontjáig visszavonható, amelyet a meghirdetéssel azonos módon kell közzétenni.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árverésen az vehet részt, aki a hirdetményben megjelölt időben és helyen személyesen, vagy meghatalmazottja útján megjelenik, nyilatkozik, hogy legalább a kikiáltási ár erejéig rendelkezik a vételárral, árverési előlegként a kikiáltási ár 10%-át a hirdetményben megjelölt módon és időben letétbe helyezte.</w:t>
      </w:r>
    </w:p>
    <w:p w:rsidR="004002C4" w:rsidRPr="004002C4" w:rsidRDefault="004002C4" w:rsidP="00C646C6">
      <w:pPr>
        <w:numPr>
          <w:ilvl w:val="0"/>
          <w:numId w:val="1"/>
        </w:numPr>
        <w:spacing w:before="120" w:after="120"/>
        <w:jc w:val="both"/>
        <w:rPr>
          <w:b w:val="0"/>
        </w:rPr>
      </w:pPr>
      <w:r w:rsidRPr="004002C4">
        <w:rPr>
          <w:b w:val="0"/>
        </w:rPr>
        <w:t>Az árverés lezárása után jegyzőkönyvben kell rögzíteni az árverés lefolyását. A jegyzőkönyvet az árverést vezető, a jegyzőkönyv vezető, és az árverési vevő írja alá.</w:t>
      </w:r>
    </w:p>
    <w:p w:rsidR="00C60C6D" w:rsidRDefault="00C60C6D" w:rsidP="00C60C6D">
      <w:pPr>
        <w:jc w:val="center"/>
        <w:rPr>
          <w:b w:val="0"/>
        </w:rPr>
      </w:pPr>
    </w:p>
    <w:sectPr w:rsidR="00C60C6D" w:rsidSect="003F706F">
      <w:headerReference w:type="even" r:id="rId7"/>
      <w:headerReference w:type="default" r:id="rId8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C6" w:rsidRDefault="00C646C6">
      <w:r>
        <w:separator/>
      </w:r>
    </w:p>
  </w:endnote>
  <w:endnote w:type="continuationSeparator" w:id="0">
    <w:p w:rsidR="00C646C6" w:rsidRDefault="00C6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C6" w:rsidRDefault="00C646C6">
      <w:r>
        <w:separator/>
      </w:r>
    </w:p>
  </w:footnote>
  <w:footnote w:type="continuationSeparator" w:id="0">
    <w:p w:rsidR="00C646C6" w:rsidRDefault="00C6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6B" w:rsidRDefault="00CC686B" w:rsidP="0041162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686B" w:rsidRDefault="00CC68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6B" w:rsidRPr="00701B5F" w:rsidRDefault="00CC686B" w:rsidP="00411627">
    <w:pPr>
      <w:pStyle w:val="lfej"/>
      <w:framePr w:wrap="around" w:vAnchor="text" w:hAnchor="margin" w:xAlign="center" w:y="1"/>
      <w:rPr>
        <w:rStyle w:val="Oldalszm"/>
        <w:b w:val="0"/>
      </w:rPr>
    </w:pPr>
    <w:r w:rsidRPr="00701B5F">
      <w:rPr>
        <w:rStyle w:val="Oldalszm"/>
        <w:b w:val="0"/>
      </w:rPr>
      <w:fldChar w:fldCharType="begin"/>
    </w:r>
    <w:r w:rsidRPr="00701B5F">
      <w:rPr>
        <w:rStyle w:val="Oldalszm"/>
        <w:b w:val="0"/>
      </w:rPr>
      <w:instrText xml:space="preserve">PAGE  </w:instrText>
    </w:r>
    <w:r w:rsidRPr="00701B5F">
      <w:rPr>
        <w:rStyle w:val="Oldalszm"/>
        <w:b w:val="0"/>
      </w:rPr>
      <w:fldChar w:fldCharType="separate"/>
    </w:r>
    <w:r w:rsidR="00945F17">
      <w:rPr>
        <w:rStyle w:val="Oldalszm"/>
        <w:b w:val="0"/>
        <w:noProof/>
      </w:rPr>
      <w:t>4</w:t>
    </w:r>
    <w:r w:rsidRPr="00701B5F">
      <w:rPr>
        <w:rStyle w:val="Oldalszm"/>
        <w:b w:val="0"/>
      </w:rPr>
      <w:fldChar w:fldCharType="end"/>
    </w:r>
  </w:p>
  <w:p w:rsidR="00CC686B" w:rsidRDefault="00CC686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9E"/>
    <w:multiLevelType w:val="hybridMultilevel"/>
    <w:tmpl w:val="DE5E6EB4"/>
    <w:lvl w:ilvl="0" w:tplc="1A0A5254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83560"/>
    <w:multiLevelType w:val="hybridMultilevel"/>
    <w:tmpl w:val="5AEEC7FE"/>
    <w:lvl w:ilvl="0" w:tplc="DAC68D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F56AA"/>
    <w:multiLevelType w:val="hybridMultilevel"/>
    <w:tmpl w:val="586C78D4"/>
    <w:lvl w:ilvl="0" w:tplc="CF4628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0F46"/>
    <w:rsid w:val="000209FC"/>
    <w:rsid w:val="00031054"/>
    <w:rsid w:val="000342BB"/>
    <w:rsid w:val="0004206B"/>
    <w:rsid w:val="000449A1"/>
    <w:rsid w:val="00046E89"/>
    <w:rsid w:val="00062405"/>
    <w:rsid w:val="00066FDA"/>
    <w:rsid w:val="00081B22"/>
    <w:rsid w:val="00082548"/>
    <w:rsid w:val="00093929"/>
    <w:rsid w:val="00095F3A"/>
    <w:rsid w:val="00097F57"/>
    <w:rsid w:val="000B6E55"/>
    <w:rsid w:val="000C4397"/>
    <w:rsid w:val="000C48A3"/>
    <w:rsid w:val="000D6382"/>
    <w:rsid w:val="0012390E"/>
    <w:rsid w:val="001517BE"/>
    <w:rsid w:val="001518AF"/>
    <w:rsid w:val="00155BDF"/>
    <w:rsid w:val="00170DF2"/>
    <w:rsid w:val="001731F2"/>
    <w:rsid w:val="00185FEF"/>
    <w:rsid w:val="00194F12"/>
    <w:rsid w:val="001A0D83"/>
    <w:rsid w:val="001A3029"/>
    <w:rsid w:val="001C2918"/>
    <w:rsid w:val="001F3237"/>
    <w:rsid w:val="0020546A"/>
    <w:rsid w:val="00214A9C"/>
    <w:rsid w:val="00217099"/>
    <w:rsid w:val="002221A7"/>
    <w:rsid w:val="002426A1"/>
    <w:rsid w:val="00252A5E"/>
    <w:rsid w:val="00256238"/>
    <w:rsid w:val="00262F50"/>
    <w:rsid w:val="00267789"/>
    <w:rsid w:val="00281912"/>
    <w:rsid w:val="00282509"/>
    <w:rsid w:val="002907E0"/>
    <w:rsid w:val="00297195"/>
    <w:rsid w:val="002B4783"/>
    <w:rsid w:val="002C6382"/>
    <w:rsid w:val="002D318D"/>
    <w:rsid w:val="002D4A66"/>
    <w:rsid w:val="002E4E6B"/>
    <w:rsid w:val="003115E1"/>
    <w:rsid w:val="003146A5"/>
    <w:rsid w:val="0033615B"/>
    <w:rsid w:val="00336229"/>
    <w:rsid w:val="00336B30"/>
    <w:rsid w:val="00337191"/>
    <w:rsid w:val="00360469"/>
    <w:rsid w:val="00374959"/>
    <w:rsid w:val="00381609"/>
    <w:rsid w:val="003A3A9D"/>
    <w:rsid w:val="003A3FE8"/>
    <w:rsid w:val="003E6405"/>
    <w:rsid w:val="003F5571"/>
    <w:rsid w:val="003F5BC9"/>
    <w:rsid w:val="003F706F"/>
    <w:rsid w:val="004002C4"/>
    <w:rsid w:val="0040168C"/>
    <w:rsid w:val="00411627"/>
    <w:rsid w:val="00416D7D"/>
    <w:rsid w:val="00422E3D"/>
    <w:rsid w:val="00424866"/>
    <w:rsid w:val="00425BF8"/>
    <w:rsid w:val="0043155C"/>
    <w:rsid w:val="004351FB"/>
    <w:rsid w:val="00435963"/>
    <w:rsid w:val="00435FD9"/>
    <w:rsid w:val="004415C4"/>
    <w:rsid w:val="004444D7"/>
    <w:rsid w:val="00466B16"/>
    <w:rsid w:val="00470AB3"/>
    <w:rsid w:val="004840A2"/>
    <w:rsid w:val="00494A65"/>
    <w:rsid w:val="00495E63"/>
    <w:rsid w:val="004A0A10"/>
    <w:rsid w:val="004B1A78"/>
    <w:rsid w:val="004B352D"/>
    <w:rsid w:val="004B3D60"/>
    <w:rsid w:val="004B7D02"/>
    <w:rsid w:val="004D392B"/>
    <w:rsid w:val="004E7C16"/>
    <w:rsid w:val="0050234E"/>
    <w:rsid w:val="0051708F"/>
    <w:rsid w:val="00523CE3"/>
    <w:rsid w:val="005269B7"/>
    <w:rsid w:val="00527C49"/>
    <w:rsid w:val="00551815"/>
    <w:rsid w:val="00553A35"/>
    <w:rsid w:val="00572645"/>
    <w:rsid w:val="005A4A27"/>
    <w:rsid w:val="005B395F"/>
    <w:rsid w:val="005B3BC8"/>
    <w:rsid w:val="005B5580"/>
    <w:rsid w:val="005C4214"/>
    <w:rsid w:val="005C74EB"/>
    <w:rsid w:val="005E464C"/>
    <w:rsid w:val="005E7242"/>
    <w:rsid w:val="005F0426"/>
    <w:rsid w:val="005F2CCB"/>
    <w:rsid w:val="005F3B7F"/>
    <w:rsid w:val="006013D5"/>
    <w:rsid w:val="00601A8A"/>
    <w:rsid w:val="00624108"/>
    <w:rsid w:val="00636144"/>
    <w:rsid w:val="00647B32"/>
    <w:rsid w:val="0065063A"/>
    <w:rsid w:val="0068009A"/>
    <w:rsid w:val="006B0F46"/>
    <w:rsid w:val="006B1BF2"/>
    <w:rsid w:val="006B2B0A"/>
    <w:rsid w:val="006C57C4"/>
    <w:rsid w:val="006E1BDD"/>
    <w:rsid w:val="00701B5F"/>
    <w:rsid w:val="0073090F"/>
    <w:rsid w:val="00744C14"/>
    <w:rsid w:val="007A52B3"/>
    <w:rsid w:val="007A7688"/>
    <w:rsid w:val="007B1B97"/>
    <w:rsid w:val="007B494C"/>
    <w:rsid w:val="007B69F7"/>
    <w:rsid w:val="007E424A"/>
    <w:rsid w:val="007F76BE"/>
    <w:rsid w:val="00817BBE"/>
    <w:rsid w:val="00825AC3"/>
    <w:rsid w:val="00841753"/>
    <w:rsid w:val="00864389"/>
    <w:rsid w:val="00875ACD"/>
    <w:rsid w:val="00884D6B"/>
    <w:rsid w:val="00894184"/>
    <w:rsid w:val="008A3BDC"/>
    <w:rsid w:val="008A3F6C"/>
    <w:rsid w:val="008A648A"/>
    <w:rsid w:val="008C361A"/>
    <w:rsid w:val="008C66B3"/>
    <w:rsid w:val="008E0630"/>
    <w:rsid w:val="008E097B"/>
    <w:rsid w:val="008F2A58"/>
    <w:rsid w:val="00900707"/>
    <w:rsid w:val="009048EA"/>
    <w:rsid w:val="00906C97"/>
    <w:rsid w:val="009163AB"/>
    <w:rsid w:val="00916A8C"/>
    <w:rsid w:val="00917BAF"/>
    <w:rsid w:val="00923D42"/>
    <w:rsid w:val="00930695"/>
    <w:rsid w:val="009378D5"/>
    <w:rsid w:val="009426BA"/>
    <w:rsid w:val="00945F17"/>
    <w:rsid w:val="00956DFF"/>
    <w:rsid w:val="00987930"/>
    <w:rsid w:val="00990FD6"/>
    <w:rsid w:val="009A5C14"/>
    <w:rsid w:val="009C4E86"/>
    <w:rsid w:val="009E4754"/>
    <w:rsid w:val="009F0C07"/>
    <w:rsid w:val="00A04190"/>
    <w:rsid w:val="00A2043A"/>
    <w:rsid w:val="00A35E8D"/>
    <w:rsid w:val="00A43675"/>
    <w:rsid w:val="00A80607"/>
    <w:rsid w:val="00A93035"/>
    <w:rsid w:val="00A93F0C"/>
    <w:rsid w:val="00A97CE1"/>
    <w:rsid w:val="00AB214F"/>
    <w:rsid w:val="00AC6BA0"/>
    <w:rsid w:val="00AD2607"/>
    <w:rsid w:val="00AF1514"/>
    <w:rsid w:val="00AF63B0"/>
    <w:rsid w:val="00B05B29"/>
    <w:rsid w:val="00B138C8"/>
    <w:rsid w:val="00B244D5"/>
    <w:rsid w:val="00B40B90"/>
    <w:rsid w:val="00B44DF0"/>
    <w:rsid w:val="00B604F1"/>
    <w:rsid w:val="00B668A0"/>
    <w:rsid w:val="00B959C3"/>
    <w:rsid w:val="00BA566D"/>
    <w:rsid w:val="00BA66B9"/>
    <w:rsid w:val="00BB425F"/>
    <w:rsid w:val="00BD1895"/>
    <w:rsid w:val="00BE1897"/>
    <w:rsid w:val="00BE5C4B"/>
    <w:rsid w:val="00C0217D"/>
    <w:rsid w:val="00C16E32"/>
    <w:rsid w:val="00C21B3D"/>
    <w:rsid w:val="00C3628D"/>
    <w:rsid w:val="00C52934"/>
    <w:rsid w:val="00C54BAE"/>
    <w:rsid w:val="00C60C6D"/>
    <w:rsid w:val="00C646C6"/>
    <w:rsid w:val="00C6743E"/>
    <w:rsid w:val="00C71615"/>
    <w:rsid w:val="00C7205B"/>
    <w:rsid w:val="00CB3B93"/>
    <w:rsid w:val="00CC686B"/>
    <w:rsid w:val="00CD16D0"/>
    <w:rsid w:val="00CE7462"/>
    <w:rsid w:val="00CF3DB9"/>
    <w:rsid w:val="00D104BC"/>
    <w:rsid w:val="00D14FE7"/>
    <w:rsid w:val="00D15613"/>
    <w:rsid w:val="00D214EC"/>
    <w:rsid w:val="00D30783"/>
    <w:rsid w:val="00D45B81"/>
    <w:rsid w:val="00D53F4F"/>
    <w:rsid w:val="00D613A5"/>
    <w:rsid w:val="00D6388F"/>
    <w:rsid w:val="00D93E6D"/>
    <w:rsid w:val="00D969A6"/>
    <w:rsid w:val="00D97828"/>
    <w:rsid w:val="00DA49EC"/>
    <w:rsid w:val="00DC248A"/>
    <w:rsid w:val="00DC3584"/>
    <w:rsid w:val="00DD1A59"/>
    <w:rsid w:val="00DE7281"/>
    <w:rsid w:val="00DE7996"/>
    <w:rsid w:val="00DE7B62"/>
    <w:rsid w:val="00DF02F9"/>
    <w:rsid w:val="00DF6154"/>
    <w:rsid w:val="00DF66F3"/>
    <w:rsid w:val="00DF67BA"/>
    <w:rsid w:val="00E309F6"/>
    <w:rsid w:val="00E30A07"/>
    <w:rsid w:val="00E373CD"/>
    <w:rsid w:val="00E40E23"/>
    <w:rsid w:val="00E446B8"/>
    <w:rsid w:val="00E4763A"/>
    <w:rsid w:val="00E47CE6"/>
    <w:rsid w:val="00E50D84"/>
    <w:rsid w:val="00E5676A"/>
    <w:rsid w:val="00E65906"/>
    <w:rsid w:val="00EC6087"/>
    <w:rsid w:val="00EC6A89"/>
    <w:rsid w:val="00EC6CE8"/>
    <w:rsid w:val="00ED033D"/>
    <w:rsid w:val="00ED2363"/>
    <w:rsid w:val="00EE67CD"/>
    <w:rsid w:val="00F001E2"/>
    <w:rsid w:val="00F00854"/>
    <w:rsid w:val="00F05714"/>
    <w:rsid w:val="00F20E37"/>
    <w:rsid w:val="00F43F47"/>
    <w:rsid w:val="00F44593"/>
    <w:rsid w:val="00F45BEA"/>
    <w:rsid w:val="00F52728"/>
    <w:rsid w:val="00F5692F"/>
    <w:rsid w:val="00F578EE"/>
    <w:rsid w:val="00F657D7"/>
    <w:rsid w:val="00F71A97"/>
    <w:rsid w:val="00F74AF8"/>
    <w:rsid w:val="00F83341"/>
    <w:rsid w:val="00F849AD"/>
    <w:rsid w:val="00F87F64"/>
    <w:rsid w:val="00F91716"/>
    <w:rsid w:val="00F94D59"/>
    <w:rsid w:val="00FB04CB"/>
    <w:rsid w:val="00FB104E"/>
    <w:rsid w:val="00FC08D9"/>
    <w:rsid w:val="00FC2F6C"/>
    <w:rsid w:val="00FC4062"/>
    <w:rsid w:val="00FC49F9"/>
    <w:rsid w:val="00FC77C7"/>
    <w:rsid w:val="00FE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6B8"/>
    <w:rPr>
      <w:rFonts w:eastAsia="Times New Roman"/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4116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11627"/>
  </w:style>
  <w:style w:type="paragraph" w:styleId="Buborkszveg">
    <w:name w:val="Balloon Text"/>
    <w:basedOn w:val="Norml"/>
    <w:semiHidden/>
    <w:rsid w:val="00701B5F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01B5F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autoRedefine/>
    <w:semiHidden/>
    <w:rsid w:val="004002C4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  <w:rPr>
      <w:b w:val="0"/>
      <w:szCs w:val="24"/>
    </w:rPr>
  </w:style>
  <w:style w:type="paragraph" w:customStyle="1" w:styleId="BodyTextIndent3">
    <w:name w:val="Body Text Indent 3"/>
    <w:basedOn w:val="Norml"/>
    <w:rsid w:val="004002C4"/>
    <w:pPr>
      <w:overflowPunct w:val="0"/>
      <w:autoSpaceDE w:val="0"/>
      <w:autoSpaceDN w:val="0"/>
      <w:adjustRightInd w:val="0"/>
      <w:ind w:left="142" w:hanging="142"/>
      <w:jc w:val="both"/>
      <w:textAlignment w:val="baseline"/>
    </w:pPr>
    <w:rPr>
      <w:b w:val="0"/>
      <w:color w:val="auto"/>
      <w:sz w:val="20"/>
    </w:rPr>
  </w:style>
  <w:style w:type="paragraph" w:customStyle="1" w:styleId="BodyText2">
    <w:name w:val="Body Text 2"/>
    <w:basedOn w:val="Norml"/>
    <w:rsid w:val="004002C4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b w:val="0"/>
      <w:color w:val="auto"/>
    </w:rPr>
  </w:style>
  <w:style w:type="paragraph" w:styleId="Szvegtrzs">
    <w:name w:val="Body Text"/>
    <w:basedOn w:val="Norml"/>
    <w:rsid w:val="004002C4"/>
    <w:pPr>
      <w:tabs>
        <w:tab w:val="left" w:pos="426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8"/>
    </w:rPr>
  </w:style>
  <w:style w:type="paragraph" w:customStyle="1" w:styleId="CharCharChar">
    <w:name w:val=" Char Char Char"/>
    <w:basedOn w:val="Norml"/>
    <w:link w:val="Bekezdsalapbettpusa"/>
    <w:rsid w:val="00D30783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customStyle="1" w:styleId="CharChar">
    <w:name w:val=" Char Char"/>
    <w:basedOn w:val="Norml"/>
    <w:rsid w:val="00C16E32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customStyle="1" w:styleId="Szvegtrzsbehzssal21">
    <w:name w:val="Szövegtörzs behúzással 21"/>
    <w:basedOn w:val="Norml"/>
    <w:rsid w:val="00DD1A59"/>
    <w:pPr>
      <w:ind w:left="709" w:hanging="709"/>
      <w:jc w:val="both"/>
    </w:pPr>
    <w:rPr>
      <w:rFonts w:eastAsia="Calibri"/>
      <w:b w:val="0"/>
      <w:color w:val="auto"/>
    </w:rPr>
  </w:style>
  <w:style w:type="paragraph" w:customStyle="1" w:styleId="Listaszerbekezds1">
    <w:name w:val="Listaszerű bekezdés1"/>
    <w:basedOn w:val="Norml"/>
    <w:rsid w:val="00DD1A59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  <w:style w:type="paragraph" w:customStyle="1" w:styleId="Bekezds2">
    <w:name w:val="Bekezdés2"/>
    <w:basedOn w:val="Norml"/>
    <w:link w:val="Bekezds2Char"/>
    <w:autoRedefine/>
    <w:rsid w:val="00DD1A59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Calibri" w:eastAsia="Calibri" w:hAnsi="Calibri"/>
      <w:noProof/>
    </w:rPr>
  </w:style>
  <w:style w:type="character" w:customStyle="1" w:styleId="Bekezds2Char">
    <w:name w:val="Bekezdés2 Char"/>
    <w:link w:val="Bekezds2"/>
    <w:rsid w:val="00DD1A59"/>
    <w:rPr>
      <w:rFonts w:ascii="Calibri" w:eastAsia="Calibri" w:hAnsi="Calibri"/>
      <w:b/>
      <w:noProof/>
      <w:color w:val="000000"/>
      <w:sz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Vág Község Önkormányzata Képviselő-testületének</vt:lpstr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Vág Község Önkormányzata Képviselő-testületének</dc:title>
  <dc:creator>administrator</dc:creator>
  <cp:lastModifiedBy>Eloj</cp:lastModifiedBy>
  <cp:revision>2</cp:revision>
  <cp:lastPrinted>2013-02-14T08:17:00Z</cp:lastPrinted>
  <dcterms:created xsi:type="dcterms:W3CDTF">2016-07-18T07:22:00Z</dcterms:created>
  <dcterms:modified xsi:type="dcterms:W3CDTF">2016-07-18T07:22:00Z</dcterms:modified>
</cp:coreProperties>
</file>