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38" w:rsidRDefault="00C77338"/>
    <w:p w:rsidR="00975BEE" w:rsidRDefault="00975BEE"/>
    <w:p w:rsidR="00975BEE" w:rsidRPr="00975BEE" w:rsidRDefault="00975BEE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 xml:space="preserve">A 8/2015. (IV.30.) </w:t>
      </w:r>
      <w:proofErr w:type="spellStart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Ör</w:t>
      </w:r>
      <w:proofErr w:type="spellEnd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. 1. számú melléklete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 KÉPVISELŐ-TESTÜLET ÁLTAL A POLGÁRMESTERRE ÁTRUHÁZOTT HATÁSKÖRÖK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1. Az önkormányzat által nyújtott szociális ellátásokról és a gyermekvédelem helyi rendszeréről szóló önkormányzati rendelet értelmében dönt az alábbi esetekben: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közüzemi díj támogatás;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b) gyógyszertámogatás;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c) tanulmányi eredményt ösztönző támogatás.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2. Megköti a Munkaügyi Központtal a közösségi munkavégzésre vonatkozó megállapodást, dönt a közfoglalkoztatásról, a munkavégzésre irányuló keret felhasználásáról.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3. Engedélyezi a községi címer használatát (pl. reklámtárgyakon, rendezvényeken).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4. Az éves költségvetésben jóváhagyott előirányzatokon belül 1.000.000,- (Egymillió) Ft nagyságrendig élhet az átcsoportosítás jogával.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5. Dönt a földfelajánlás elfogadásáról.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6. Véleményezi a körzeti hatósági feladatokat ellátó állatorvos kinevezését és körzetének kialakítását.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7. Véleményezi a körzeti megbízott beszámolóját, kinevezését.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8. Engedélyezi a közterület használatát, hozzájárulást ad a közterület felbontásához.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9. Részt vesz és szavaz a társulási üléseken, megteszi az önkormányzat nevében szükséges jognyilatkozatokat.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10. Dönt 100.000,- (Százezer) Ft értékig az önkormányzat nevében történő árubeszerzésekről, szolgáltatásokról, szerződéskötésekről és jognyilatkozatok megtételéről.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11. Megköti az önkormányzat nevében a haszonbérleti szerződéseket.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12. Dönt támogatások és egyéb bevételek elfogadásáról (pl. segélyszállítmány).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13. Dönt az önkormányzat szabad pénzeszközei lekötéséről.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14. Ellátja az önkormányzat vagyonrendeletében meghatározott feladatokat. 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15. Részt vesz az óvoda költségvetésével kapcsolatos előzetes egyeztetési tárgyaláson.    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 xml:space="preserve">A 8/2015. (IV.30.) </w:t>
      </w:r>
      <w:proofErr w:type="spellStart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Ör</w:t>
      </w:r>
      <w:proofErr w:type="spellEnd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.  2. számú melléklete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 KÉPVISELŐ-TESTÜLET ÁLTAL A TÁRSULÁSOKRA  ÁTRUHÁZOTT HATÁSKÖRÖK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 xml:space="preserve">I. A </w:t>
      </w:r>
      <w:proofErr w:type="spellStart"/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somogyapáti</w:t>
      </w:r>
      <w:proofErr w:type="spellEnd"/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 xml:space="preserve"> óvodával kapcsolatosan a Nagydobsza-Somogyapáti és Környéke Intézményfenntartó Társulás Társulási Tanácsára átruházott hatáskörök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az intézmény gazdálkodási jogköréről, átszervezéséről, megszüntetéséről, tevékenységi körének módosításáról, nevének megállapításáról való döntés;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b) az intézmény költségvetésének megállapítása, módosítása, zárszámadásának elfogadása, belső ellenőrzés és az ezzel kapcsolatos intézkedési tervek jóváhagyása;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c) intézményi pályázatok benyújtása;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d) az óvodába történő jelentkezés módjáról, a nagyobb létszámú gyermekek egy időszakon belüli óvodai felvételének időpontjáról való döntés, az óvodai </w:t>
      </w:r>
      <w:proofErr w:type="spell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nyitvatartás</w:t>
      </w:r>
      <w:proofErr w:type="spell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megállapítása, iskolai és óvodai csoportok, valamint tanulói maximált létszám továbbá az óvodák és iskolák működési (felvételi) körzetének meghatározása; az osztály és a csoport átlagszámtól való eltérés engedélyezése, beiratkozás rendjének meghatározása,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a minőségirányítási programban meghatározottak szerinti működtetés, továbbá rendszeresen - ha jogszabály másképp nem rendelkezik, négyévenként legalább egy alkalommal - ellenőrzi a köznevelési intézmény gazdálkodásának, működésének törvényességét, hatékonyságát, a szakmai munka eredményességét a nevelési-oktatási intézményben, továbbá a gyermek- és ifjúságvédelmi tevékenység, a gyermekbaleset megelőzése érdekében tett intézkedések ellenőrzése;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az intézmény vezetőjének megbízása és felette a munkáltatói jogok gyakorlása, a megbízás visszavonása, a fegyelmi jogkörök gyakorlása, az összeférhetetlenség megállapítása. Az óvodavezető felett az egyéb munkáltatói jogokat a Társulási Tanács elnöke gyakorolja.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g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az intézmény szervezeti és működési szabályzatának, minőségirányítási programjának, valamint a nevelési-oktatási intézmény nevelési, illetve pedagógiai programjának, házirendjének elfogadása;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intézkedési tervek elfogadása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i) a nevelési-oktatási intézmény foglalkozási, illetve pedagógiai programjában meghatározott feladatok végrehajtásának, a pedagógiai-szakmai munka eredményességének értékelése;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k) a nemzetiségi nyelvén folyó nevelés engedélyezése.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II. A Szigetvár - Dél-Zselic Többcélú Kistérségi Társulás Társulási Tanácsára átruházott hatáskörök: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Szigetvár - Dél-Zselic Többcélú Kistérségi Társulás létrehozásáról szóló megállapodásban meghatározott feladatokban való döntés, azzal, hogy önkormányzati költségvetést érintő ügyekben szükséges a tagönkormányzat képviselő-testületi határozatának meghozatala;</w:t>
      </w:r>
    </w:p>
    <w:p w:rsidR="00975BEE" w:rsidRPr="00975BEE" w:rsidRDefault="00975BEE" w:rsidP="00975B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Társulási Tanács kizárólagos feladata a szervezeti és működési szabályzat megállapítása, a kistérségi koncepciók és programok elfogadása, költségvetés arányának megállapítása, tisztségviselők, bizottságok megválasztása, munkaszervezet meghatározása, az éves költségvetés, beszámolók és a zárszámadás elfogadása.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III. Mecsek-Dráva Regionális Szilárdhulladék Kezelő Rendszer Létrehozását Célzó Önkormányzat Társulásának Társulási Tanácsára átruházott hatáskörök: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társulás éves ügyrendjének, munkatervének jóváhagyása,</w:t>
      </w:r>
    </w:p>
    <w:p w:rsidR="00975BEE" w:rsidRPr="00975BEE" w:rsidRDefault="00975BEE" w:rsidP="00975B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társulás éves költségvetésének és zárszámadásának elfogadása.</w:t>
      </w:r>
    </w:p>
    <w:p w:rsidR="00975BEE" w:rsidRPr="00975BEE" w:rsidRDefault="00975BEE" w:rsidP="00975B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társulás éves feladatai meghatározása.</w:t>
      </w:r>
    </w:p>
    <w:p w:rsidR="00975BEE" w:rsidRPr="00975BEE" w:rsidRDefault="00975BEE" w:rsidP="00975B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társulás éves hozzájárulása, a költségviselés arányának meghatározása.</w:t>
      </w:r>
    </w:p>
    <w:p w:rsidR="00975BEE" w:rsidRPr="00975BEE" w:rsidRDefault="00975BEE" w:rsidP="00975B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társulás térítésmentes és térítésköteles tevékenységének meghatározása.</w:t>
      </w:r>
    </w:p>
    <w:p w:rsidR="00975BEE" w:rsidRPr="00975BEE" w:rsidRDefault="00975BEE" w:rsidP="00975B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A társulás SZMSZ-ének és tisztségviselők megválasztása.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 xml:space="preserve">A 8/2015. (IV.30.) </w:t>
      </w:r>
      <w:proofErr w:type="spellStart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Ör</w:t>
      </w:r>
      <w:proofErr w:type="spellEnd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.   3. számú melléklete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AZ ÖNKORMÁNYZATI RENDELETTEL SZEMBEN TÁMASZTOTT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 FORMAI ÉS TARTALMI KÖVETELMÉNYEK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I. FORMAI KÖVETELMÉNYEK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1. A rendelet szerkezeti felépítése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a</w:t>
      </w:r>
      <w:proofErr w:type="gramEnd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 xml:space="preserve">) </w:t>
      </w:r>
      <w:proofErr w:type="spellStart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a</w:t>
      </w:r>
      <w:proofErr w:type="spellEnd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 xml:space="preserve"> rendelet megjelölése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megjelölés magában foglalja a jogalkotó képviselő-testület megnevezését, a rendelet sorszámát, a kihirdetés hónapját és napját, az önkormányzati rendelet megnevezést, a rendelet címét. Végrehajtásról, módosításról vagy hatályon kívül helyezésről szóló rendelet tárgyaként fel kell tüntetni a végrehajtott, módosított illetve hatályon kívül helyezett jogszabály megjelölését is.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b) preambulum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preambulum rövid, ünnepélyes hangvételű utalás a helyi jogalkotás jogpolitikai céljára. Önkormányzati rendeletnél ritkán alkalmazzák, általában az SZMSZ-nél, önkormányzati kitüntetések, díszpolgári cím adományozásáról szóló rendeletnél. A rendelet megjelölését követően, a bevezető rész elé kell felvenni.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c) bevezető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A rendelet bevezetővel és </w:t>
      </w:r>
      <w:proofErr w:type="spell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enélkül</w:t>
      </w:r>
      <w:proofErr w:type="spell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is alkotható. Alkalmazása akkor célszerű, ha a rendelet tárgya szerint széles címzetti kört érint. A bevezetőben fel kell tüntetni az utasítást, a felhatalmazást, az ajánlást tartalmazó forrást.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d) rendelkező rész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Meg kell határozni a rendelet személyi, tárgyi, területi hatályát, továbbá szükség esetén az értelmező rendelkezéseket, szankciókat.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e</w:t>
      </w:r>
      <w:proofErr w:type="gramEnd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) záró rendelkezések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Tartalmazza a hatályba lépés időpontját, az esetleges visszaható vagy átmeneti szabályokra, a korábbi helyi rendeletek hatályon kívül helyezésére vagy </w:t>
      </w: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módosítására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vagy a jogszabály végrehajtására vonatkozó felhatalmazásokat.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f</w:t>
      </w:r>
      <w:proofErr w:type="gramEnd"/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) melléklet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mellékletben kaphatnak helyet a rendelet rendelkező részében jellege, terjedelme miatt el nem helyezhető, mégis mellőzhetetlen dokumentációk, mint pl. űrlap minták, díjszabások, térképek, ábrák.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2. Nem jogosult a képviselő-testület az országos szintű jogszabály külön felhatalmazás nélküli olyan kiegészítésére, amely valójában jogszabály módosításnak tekinthető.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3. Fontos a rendelet szerkezeti tagolása fejezetekre, címekre, §</w:t>
      </w:r>
      <w:proofErr w:type="spell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-okra</w:t>
      </w:r>
      <w:proofErr w:type="spell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 bekezdésekre, alpontokra.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4. A szakaszokat és a bekezdéseket folyamatos sorszámozással kell ellátni.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II. TARTALMI KÖVETELMÉNYEK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1. A rendelet nem lehet ellentétes magasabb szintű jogszabállyal.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2. Az egymáshoz közel eső társadalmi viszonyokat egy rendeletben kell szabályozni.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3. A rendeletet a magyar nyelv szabályainak megfelelően, világosan, közérthetően kell megszövegezni.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4. Képviselő-testületi határozat önkormányzati rendeletet nem módosíthat.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5. Kerülendő a bonyolult mondatfűzés, a többszörösen összetett mondat.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6. Idegen szavakat, kifejezéseket csak akkor használjunk, ha nincs magyar megfelelőjük.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7. Ugyanarra a fogalomra ugyanazt a kifejezést alkalmazzuk.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8. A jelen idő kötelezést, parancsot fejez ki, ezért a felszólító mód használata csak erőteljesebb hangsúlyozásánál szükséges.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9. Kerülendők a töltelékszavak (pl. tulajdonképpen, megfelelően, értelemszerűen) és a határozatlan jogfogalmak (pl. fontos ok, nemzetgazdasági érdek), valamint a túlzottan részletes, semmitmondó, üres keretszabályozás.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10. A felhatalmazó jogszabályt pontosan meg kell jelölni (jogszabály neve, száma, § száma).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11. A szabálysértési tényállásokat tételesen kell meghatározni.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12. A kivételek pontos körét és tartalmát egyértelműen szükséges szabályozni, kivételek kivételeiről nem szólhat a rendelet.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 xml:space="preserve">A 8/2015. (IV.30.) </w:t>
      </w:r>
      <w:proofErr w:type="spellStart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Ör</w:t>
      </w:r>
      <w:proofErr w:type="spellEnd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. 4. számú melléklete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AZ ÖNKORMÁNYZATI INTÉZMÉNYI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 JEGYZÉK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Nagypeterdi Közös Önkormányzati Hivatal (7912 Nagypeterd, Kossuth u. 93/A.) és kirendeltsége /Nagypeterdi Közös Önkormányzati Hivatal Somogyapáti Kirendeltsége (7922 Somogyapáti, Fő u. 81.)/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lastRenderedPageBreak/>
        <w:t xml:space="preserve">A 8/2015. (IV.30.) </w:t>
      </w:r>
      <w:proofErr w:type="spellStart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Ör</w:t>
      </w:r>
      <w:proofErr w:type="spellEnd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. 5. számú melléklete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 KÉPVISELŐI VAGYONNYILATKOZATOK NYILVÁNTARTÁSÁNAK ÉS ELLENŐRZÉSÉNEK SZABÁLYAI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VAGYONNYILATKOZAT-TÉTELRE KÖTELEZETTEK KÖRE: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Magyarország helyi önkormányzatairól szóló 2011. évi CLXXXIX. törvény 39. § (1) bekezdése értelmében vagyonnyilatkozat-tételre kötelezett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           </w:t>
      </w: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) </w:t>
      </w:r>
      <w:proofErr w:type="spell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</w:t>
      </w:r>
      <w:proofErr w:type="spell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polgármester;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 b) a települési képviselő;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 c) az a) és b) pontban felsorolt személyekkel közös háztartásban élő  házastárs vagy  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                         </w:t>
      </w: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élettárs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és a gyermek (továbbiakban: </w:t>
      </w:r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hozzátartozó).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II. VAGYONNYILATKOZAT NYILVÁNTARTÁSA, ELLENŐRZÉSE,  KEZELÉSE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5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vagyonnyilatkozatok nyilvántartása és ellenőrzése az e célra létrehozott bizottság (továbbiakban: </w:t>
      </w:r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bizottság</w:t>
      </w:r>
      <w:proofErr w:type="gramStart"/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)</w:t>
      </w: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feladata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6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vagyonnyilatkozatok kezelése és az azokkal kapcsolatos adatvédelmi követelmények érvényesítése érdekében </w:t>
      </w:r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a személyes adatok védelméről és közérdekű adatok nyilvántartásáról szóló 1992. évi LXIII. tv</w:t>
      </w: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.</w:t>
      </w:r>
      <w:r w:rsidRPr="00975BEE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 </w:t>
      </w: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rendelkezései az irányadóak.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7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nyilatkozat-tételre köteles képviselők vagyonnyilatkozattal kapcsolatos összes iratát az egyéb iratoktól elkülönítetten és együttesen kell kezelni.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4.) A vagyonnyilatkozatokat a Közös Hivatal Somogyapáti Kirendeltségének páncélszekrényében kell tárolni.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8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képviselői vagyonnyilatkozatok nyilvánosak, a hozzátartozói vagyonnyilatkozatok viszont nem, abba csak a bizottság tagjai jogosultak betekinteni ellenőrzés céljából.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9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A képviselő a vagyonnyilatkozatát 2 (kettő) példányban tölti ki, amelyekből egy-egy példányt külön-külön borítékban helyez el. A nyitott borítékokat átadja a bizottságnak, amely az aláírással és dátummal ellátott vagyonnyilatkozatokat </w:t>
      </w: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átveszi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és az egyikre rávezeti a képviselő nevét. A másik példányt a képviselőnek visszaadja. A hozzátartozói vagyonnyilatkozatokat is 2 (kettő) példányban, zárt borítékban kell átadni a bizottságnak, amely az aláírással – kiskorú esetében a törvényes képviselő aláírásával- és dátummal ellátott vagyonnyilatkozatokat átveszi, egyikre rávezeti a hozzátartozó nevét és lepecsételi a borítékot, a másik példányt a képviselőnek visszaadja. A vagyonnyilatkozatok átvételét a bizottság átvételi </w:t>
      </w:r>
      <w:proofErr w:type="spell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elismervénnyel</w:t>
      </w:r>
      <w:proofErr w:type="spell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igazolja.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7.) Vagyonnyilatkozatot a polgármester, a képviselő a megválasztásától, majd azt követően minden év január 1-jétől számított 30 (harminc) napon belül köteles tenni.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0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vagyonnyilatkozatokba való betekintést írásban, a kérelmet a bizottság elnökének címezve kell kezdeményezni. A bizottság elnöke a kérelem beérkezéstől számított 8 (nyolc) napon belül tájékoztatja a kezdeményezőt a betekintés helyéről és idejéről.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kérelmező a képviselői vagyonnyilatkozatokba betekinthet, arról fénymásolatot nem, csak saját kezű feljegyzést készíthet.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9.) A </w:t>
      </w:r>
      <w:proofErr w:type="spell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Mötv</w:t>
      </w:r>
      <w:proofErr w:type="spell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 39. § (2) bekezdése alapján a vagyonnyilatkozat tételének elmulasztása esetén -  annak benyújtásáig - az önkormányzati képviselő e tisztségéből fakadó jogait nem gyakorolhatja, tiszteletdíjat, természetbeni juttatást, költségtérítést nem kaphat.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A </w:t>
      </w:r>
      <w:proofErr w:type="spell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Mötv</w:t>
      </w:r>
      <w:proofErr w:type="spell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 72. § (4) bekezdése szerint a polgármesterre megfelelően alkalmazni kell az önkormányzati képviselőre vonatkozó vagyonnyilatkozat-tételi szabályokat.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III. VAGYONNYILATKOZATTAL KAPCSOLATOS ELJÁRÁS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1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 vagyonnyilatkozatokkal kapcsolatos eljárást a bizottságnál bárki kezdeményezheti. A bizottság eljárására a képviselő-testületi zárt ülésre vonatkozó szabályokat kell alkalmazni. Az eljárás eredményéről a bizottság soron következő ülésén tájékoztatja a képviselő-testületet. A vagyonnyilatkozati eljárással kapcsolatos döntés a képviselő-testület át nem ruházható hatásköre.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2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A vagyonnyilatkozatokkal kapcsolatos eljárás lefolytatásának a vagyonnyilatkozat konkrét tartalmára vonatkozó tényállítás esetén van helye. Ha az eljárás megindítására vonatkozó kérelem nem jelöli meg konkrétan a vagyonnyilatkozat kifogásolt részét és tartalmát, a bizottság felhívja a kezdeményezőt a hiánypótlásra. Ha a kezdeményező 15 (tizenöt) napon belül nem tesz eleget a </w:t>
      </w: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felhívásnak</w:t>
      </w:r>
      <w:proofErr w:type="gramEnd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vagy ha a kérelme nyilvánvalóan alaptalan, a bizottság az eljárás lefolytatása nélkül elutasítja a kezdeményezést.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3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eljárás megismétlésének ugyanazon vagyonnyilatkozat esetében csak akkor van helye, ha az erre irányuló kezdeményezés új tényállítást tartalmaz. Az eljárásra irányuló - tényállítás nélküli – ismételt kezdeményezést a bizottság az eljárás lefolytatása nélkül elutasítja.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4.) A vagyonnyilatkozattal kapcsolatos eljárás során a bizottság felhívására a képviselő köteles saját,  illetve a hozzátartozója vagyonnyilatkozatában feltüntetett adatokra vonatkozó azonosító adatokat haladéktalanul  írásban bejelenti. Az azonosító adatokra csak a bizottság tagjai ismerhetik meg, azokat az eljárás lezárást követő 8 (nyolc) napon belül törölni kell. A bizottság eljárására egyebekben az SZMSZ rendelkezései irányadók. A bizottság mérlegelési jogkörében jogosult dönteni az azonosító adatok köréről, de csak a vagyonnyilatkozat megtételére szolgáló nyomtatványon szereplő adatkörrel kapcsolatosan kérhet azonosító adatokat.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Az azonosító adatok körébe tartoznak: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hozzátartozókra vonatkozóan születési idő és hely, anyja neve, állandó lakásának címe stb.;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ingatlanoknál az ingatlan pontos címe;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gépjárműveknél a személygépkocsi, tehergépjármű, autóbusz, motorkerékpár rendszáma, alvázszáma stb.;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védett műalkotásra, gyűjteményre vonatkozóan, a műalkotás alkotójának neve, az alkotás címe, gyűjtemény megnevezése stb.;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értékpapírban elhelyezett megtakarításra vagy egyéb befektetésre vonatkozóan azok sorszáma stb.;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takarékbetétben elhelyezett megtakarításra vonatkozóan, a pénzintézet neve, betétkönyv száma és az abban elhelyezett összeg;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pénzintézeti számlakövetelésre vagy más, szerződés alapján fennálló pénzkövetelésre vonatkozóan, a pénzkövetelés jogcíme, a kötelezett neve és lakcíme, a követelés összege, kelte, lejárati ideje;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magánszeméllyel szembeni tartozás esetén a hitelező neve és lakcíme, a tartozás összege, kelte lejárati ideje;</w:t>
      </w:r>
    </w:p>
    <w:p w:rsidR="00975BEE" w:rsidRPr="00975BEE" w:rsidRDefault="00975BEE" w:rsidP="00975BEE">
      <w:pPr>
        <w:numPr>
          <w:ilvl w:val="0"/>
          <w:numId w:val="14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a gazdasági társaságban fennálló tisztség vagy érdekeltség fennállásakor a gazdasági társaság székhelye, nyereségből való részesedés stb.         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 Az ellenőrzési eljárás során történő betekintés tényét megfelelően dokumentálni kell.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5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proofErr w:type="gramStart"/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Ha a képviselővel közös háztartásban élő hozzátartozó a képviselői mandátum időtartama alatt megszünteti a közös háztartásban élést, részére a vagyonnyilatkozatát a megszűnést követő 1 (egy) év elteltével vissza kell adni és a nyilvántartásból törölni kell.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6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 képviselő és hozzátartozója vagyonnyilatkozatát a képviselői megbízatás megszűnését követő 1 (egy) év elteltével a nyilvántartásból törölni kell és azt részére vissza kell adni.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75BEE" w:rsidRPr="00975BEE" w:rsidRDefault="00975BEE" w:rsidP="00975BEE">
      <w:pPr>
        <w:numPr>
          <w:ilvl w:val="0"/>
          <w:numId w:val="17"/>
        </w:numPr>
        <w:shd w:val="clear" w:color="auto" w:fill="FFFFFF"/>
        <w:spacing w:after="0" w:line="270" w:lineRule="atLeast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 vagyonnyilatkozat-tétellel kapcsolatosan – ha a szabályzat másképpen nem rendelkezik – a polgármesterre ugyanazok a szabályok alkalmazandók, mint a helyi önkormányzati képviselőkre.</w:t>
      </w:r>
    </w:p>
    <w:p w:rsidR="00975BEE" w:rsidRPr="00975BEE" w:rsidRDefault="00975BEE" w:rsidP="00975BEE">
      <w:pPr>
        <w:shd w:val="clear" w:color="auto" w:fill="FFFFFF"/>
        <w:spacing w:after="0" w:line="270" w:lineRule="atLeast"/>
        <w:ind w:left="283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75BEE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</w:t>
      </w:r>
    </w:p>
    <w:p w:rsidR="00975BEE" w:rsidRDefault="00975BEE">
      <w:bookmarkStart w:id="0" w:name="_GoBack"/>
      <w:bookmarkEnd w:id="0"/>
    </w:p>
    <w:sectPr w:rsidR="00975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50352"/>
    <w:multiLevelType w:val="multilevel"/>
    <w:tmpl w:val="0DD03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6017A"/>
    <w:multiLevelType w:val="multilevel"/>
    <w:tmpl w:val="A308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C2567"/>
    <w:multiLevelType w:val="multilevel"/>
    <w:tmpl w:val="1820C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669FF"/>
    <w:multiLevelType w:val="multilevel"/>
    <w:tmpl w:val="422E32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A381765"/>
    <w:multiLevelType w:val="multilevel"/>
    <w:tmpl w:val="576C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55004"/>
    <w:multiLevelType w:val="multilevel"/>
    <w:tmpl w:val="EFA4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01214"/>
    <w:multiLevelType w:val="multilevel"/>
    <w:tmpl w:val="8E64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DA3EFC"/>
    <w:multiLevelType w:val="multilevel"/>
    <w:tmpl w:val="2DB2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3B5E5B"/>
    <w:multiLevelType w:val="multilevel"/>
    <w:tmpl w:val="0B90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8B10D4"/>
    <w:multiLevelType w:val="multilevel"/>
    <w:tmpl w:val="7696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412A02"/>
    <w:multiLevelType w:val="multilevel"/>
    <w:tmpl w:val="825A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0660AF"/>
    <w:multiLevelType w:val="multilevel"/>
    <w:tmpl w:val="B4B2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C47209"/>
    <w:multiLevelType w:val="multilevel"/>
    <w:tmpl w:val="3D70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BD2B0C"/>
    <w:multiLevelType w:val="multilevel"/>
    <w:tmpl w:val="6558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842E2C"/>
    <w:multiLevelType w:val="multilevel"/>
    <w:tmpl w:val="1EFA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C02D5A"/>
    <w:multiLevelType w:val="multilevel"/>
    <w:tmpl w:val="1D1A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8F2164"/>
    <w:multiLevelType w:val="multilevel"/>
    <w:tmpl w:val="7866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3"/>
  </w:num>
  <w:num w:numId="5">
    <w:abstractNumId w:val="12"/>
  </w:num>
  <w:num w:numId="6">
    <w:abstractNumId w:val="1"/>
    <w:lvlOverride w:ilvl="0">
      <w:startOverride w:val="2"/>
    </w:lvlOverride>
  </w:num>
  <w:num w:numId="7">
    <w:abstractNumId w:val="16"/>
    <w:lvlOverride w:ilvl="0">
      <w:startOverride w:val="3"/>
    </w:lvlOverride>
  </w:num>
  <w:num w:numId="8">
    <w:abstractNumId w:val="9"/>
    <w:lvlOverride w:ilvl="0">
      <w:startOverride w:val="5"/>
    </w:lvlOverride>
  </w:num>
  <w:num w:numId="9">
    <w:abstractNumId w:val="8"/>
    <w:lvlOverride w:ilvl="0">
      <w:startOverride w:val="6"/>
    </w:lvlOverride>
  </w:num>
  <w:num w:numId="10">
    <w:abstractNumId w:val="10"/>
    <w:lvlOverride w:ilvl="0">
      <w:startOverride w:val="8"/>
    </w:lvlOverride>
  </w:num>
  <w:num w:numId="11">
    <w:abstractNumId w:val="15"/>
  </w:num>
  <w:num w:numId="12">
    <w:abstractNumId w:val="0"/>
    <w:lvlOverride w:ilvl="0">
      <w:startOverride w:val="2"/>
    </w:lvlOverride>
  </w:num>
  <w:num w:numId="13">
    <w:abstractNumId w:val="14"/>
    <w:lvlOverride w:ilvl="0">
      <w:startOverride w:val="3"/>
    </w:lvlOverride>
  </w:num>
  <w:num w:numId="14">
    <w:abstractNumId w:val="7"/>
  </w:num>
  <w:num w:numId="15">
    <w:abstractNumId w:val="4"/>
    <w:lvlOverride w:ilvl="0">
      <w:startOverride w:val="5"/>
    </w:lvlOverride>
  </w:num>
  <w:num w:numId="16">
    <w:abstractNumId w:val="5"/>
    <w:lvlOverride w:ilvl="0">
      <w:startOverride w:val="6"/>
    </w:lvlOverride>
  </w:num>
  <w:num w:numId="17">
    <w:abstractNumId w:val="6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EE"/>
    <w:rsid w:val="00975BEE"/>
    <w:rsid w:val="00C7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97AD4-3D5D-48FC-92D1-D0288031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1973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2016-08-26T10:06:00Z</dcterms:created>
  <dcterms:modified xsi:type="dcterms:W3CDTF">2016-08-26T10:07:00Z</dcterms:modified>
</cp:coreProperties>
</file>