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04C" w:rsidRDefault="00DA004C" w:rsidP="00DA004C">
      <w:pPr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kéményseprő-ipari közszolgáltatásról szóló 2012 évi XC törvény (továbbiakban törvény) 6. § (1) bekezdés szerinti sormunka keretében elvégzendő közszolgáltatási feladatokra: </w:t>
      </w:r>
    </w:p>
    <w:p w:rsidR="00DA004C" w:rsidRDefault="00DA004C" w:rsidP="00DA004C">
      <w:pPr>
        <w:jc w:val="center"/>
        <w:rPr>
          <w:sz w:val="20"/>
          <w:szCs w:val="20"/>
        </w:rPr>
      </w:pPr>
    </w:p>
    <w:p w:rsidR="00DA004C" w:rsidRDefault="00DA004C" w:rsidP="00DA004C">
      <w:pPr>
        <w:jc w:val="center"/>
        <w:rPr>
          <w:b/>
        </w:rPr>
      </w:pPr>
      <w:r>
        <w:rPr>
          <w:b/>
        </w:rPr>
        <w:t>2015. évi nettó díjtételek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>1. Sormunka keretében ellátott tevékenységek díjtételei</w:t>
      </w:r>
    </w:p>
    <w:p w:rsidR="00DA004C" w:rsidRDefault="00DA004C" w:rsidP="00DA004C">
      <w:pPr>
        <w:autoSpaceDE w:val="0"/>
        <w:rPr>
          <w:b/>
          <w:bCs/>
          <w:sz w:val="20"/>
          <w:szCs w:val="20"/>
        </w:rPr>
      </w:pPr>
    </w:p>
    <w:tbl>
      <w:tblPr>
        <w:tblW w:w="1002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755"/>
        <w:gridCol w:w="1455"/>
        <w:gridCol w:w="1905"/>
        <w:gridCol w:w="1485"/>
        <w:gridCol w:w="2149"/>
        <w:gridCol w:w="1276"/>
      </w:tblGrid>
      <w:tr w:rsidR="00DA004C" w:rsidTr="001E71D8">
        <w:trPr>
          <w:trHeight w:val="73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jc w:val="center"/>
            </w:pPr>
          </w:p>
          <w:p w:rsidR="00DA004C" w:rsidRDefault="00DA004C" w:rsidP="001E71D8">
            <w:pPr>
              <w:autoSpaceDE w:val="0"/>
              <w:jc w:val="center"/>
            </w:pP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Égéstermék elvezet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k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jele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Tevékenységek munkaráfordítása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jc w:val="center"/>
            </w:pP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2015. évi díjtételek</w:t>
            </w:r>
          </w:p>
        </w:tc>
      </w:tr>
      <w:tr w:rsidR="00DA004C" w:rsidTr="001E71D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04C" w:rsidRDefault="00DA004C" w:rsidP="001E71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1.1.Ellen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szerinti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összeköt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elem nélkül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1.2.Összeköt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elem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rzése,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szerinti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1.3.M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ű</w:t>
            </w:r>
            <w:r>
              <w:rPr>
                <w:b/>
                <w:bCs/>
                <w:sz w:val="20"/>
                <w:szCs w:val="20"/>
              </w:rPr>
              <w:t>szaki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felülvizsgálat*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égéstermék elvezet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összeköt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elem nélküli - e</w:t>
            </w:r>
            <w:r>
              <w:rPr>
                <w:b/>
                <w:bCs/>
                <w:sz w:val="20"/>
                <w:szCs w:val="20"/>
              </w:rPr>
              <w:t>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rzésének,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 szerinti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tisztításának és m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ű</w:t>
            </w:r>
            <w:r>
              <w:rPr>
                <w:b/>
                <w:bCs/>
                <w:sz w:val="20"/>
                <w:szCs w:val="20"/>
              </w:rPr>
              <w:t>szaki</w:t>
            </w:r>
          </w:p>
          <w:p w:rsidR="00DA004C" w:rsidRDefault="00DA004C" w:rsidP="001E71D8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felülvizsgálatának</w:t>
            </w:r>
          </w:p>
          <w:p w:rsidR="00DA004C" w:rsidRDefault="00DA004C" w:rsidP="001E71D8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>Összekötő elem ellenőrzés, tisztítás díja***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0,37/db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1140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0,42/db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1240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0,34/db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0,37/db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1140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0,42/db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1 240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0,34/db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NZTS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NZTG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GNHS**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0,25/szint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GNHG**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GZHS**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0,25/szint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GZHG**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 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GZTS**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0,44/szint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820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GZTG**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0,25/szint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0,14/bekötés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0,44/szint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0,40/db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270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04C" w:rsidTr="001E71D8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0,16/szint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004C" w:rsidRDefault="00DA004C" w:rsidP="001E71D8">
            <w:pPr>
              <w:autoSpaceDE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A004C" w:rsidRDefault="00DA004C" w:rsidP="00DA004C">
      <w:pPr>
        <w:pStyle w:val="Szvegtrzs"/>
        <w:rPr>
          <w:b/>
          <w:bCs/>
        </w:rPr>
      </w:pPr>
      <w:r>
        <w:t xml:space="preserve"> </w:t>
      </w:r>
    </w:p>
    <w:p w:rsidR="00DA004C" w:rsidRDefault="00DA004C" w:rsidP="00DA004C">
      <w:pPr>
        <w:pStyle w:val="Szvegtrzs"/>
        <w:rPr>
          <w:b/>
          <w:bCs/>
        </w:rPr>
      </w:pPr>
      <w:r>
        <w:rPr>
          <w:b/>
          <w:bCs/>
        </w:rPr>
        <w:t>***2015. január 1-től kötelező elvégezni.</w:t>
      </w:r>
    </w:p>
    <w:p w:rsidR="00DA004C" w:rsidRDefault="00DA004C" w:rsidP="00DA004C">
      <w:pPr>
        <w:pStyle w:val="Szvegtrzs"/>
        <w:rPr>
          <w:b/>
          <w:bCs/>
        </w:rPr>
      </w:pPr>
      <w:r>
        <w:rPr>
          <w:b/>
          <w:bCs/>
        </w:rPr>
        <w:lastRenderedPageBreak/>
        <w:t xml:space="preserve">A nettó díjszámítás a törvény szerinti 2000.- Ft/egységnyi munkaráfordítással kalkulálva. </w:t>
      </w:r>
    </w:p>
    <w:p w:rsidR="00DA004C" w:rsidRDefault="00DA004C" w:rsidP="00DA004C">
      <w:pPr>
        <w:pStyle w:val="Szvegtrzs"/>
      </w:pPr>
      <w:r>
        <w:rPr>
          <w:b/>
          <w:bCs/>
        </w:rPr>
        <w:t>****</w:t>
      </w:r>
      <w:proofErr w:type="gramStart"/>
      <w:r>
        <w:rPr>
          <w:b/>
          <w:bCs/>
        </w:rPr>
        <w:t>2015 .</w:t>
      </w:r>
      <w:proofErr w:type="gramEnd"/>
      <w:r>
        <w:rPr>
          <w:b/>
          <w:bCs/>
        </w:rPr>
        <w:t xml:space="preserve"> január 1-től kell kötelezően elvégezni minden gáz üzemű égéstermék-elvezetőknél, így 1 db ENHG égéstermék-elvezetőnél 1 bekötés figyelembe véve az 1 alkalmi tisztítás ára 1280+600+100=1980 Ft/alkalom (nettó)</w:t>
      </w:r>
    </w:p>
    <w:p w:rsidR="00DA004C" w:rsidRDefault="00DA004C" w:rsidP="00DA004C">
      <w:pPr>
        <w:pStyle w:val="Szvegtrzs"/>
      </w:pPr>
    </w:p>
    <w:tbl>
      <w:tblPr>
        <w:tblW w:w="1002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115"/>
        <w:gridCol w:w="1770"/>
        <w:gridCol w:w="3140"/>
      </w:tblGrid>
      <w:tr w:rsidR="00DA004C" w:rsidTr="001E71D8">
        <w:trPr>
          <w:trHeight w:val="750"/>
          <w:tblHeader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1.4. Egyéb sormunka keretében végzett</w:t>
            </w: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Tevékenységek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DA004C" w:rsidRDefault="00DA004C" w:rsidP="001E71D8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Munkaráfordítás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DA004C" w:rsidRDefault="00DA004C" w:rsidP="001E71D8">
            <w:pPr>
              <w:autoSpaceDE w:val="0"/>
              <w:snapToGrid w:val="0"/>
              <w:jc w:val="center"/>
              <w:rPr>
                <w:sz w:val="20"/>
                <w:szCs w:val="20"/>
                <w:shd w:val="clear" w:color="auto" w:fill="C0C0C0"/>
              </w:rPr>
            </w:pP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  <w:shd w:val="clear" w:color="auto" w:fill="C0C0C0"/>
              </w:rPr>
              <w:t>2015. évi díjtételek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C0C0C0"/>
              </w:rPr>
            </w:pP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Leveg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utánpótlás vizsgálata csekklista alapján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légtér-összeköttetésben 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rendeltetési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egységenként ****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0,10/db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Ft"/>
              </w:smartTagPr>
              <w:r>
                <w:rPr>
                  <w:sz w:val="20"/>
                  <w:szCs w:val="20"/>
                </w:rPr>
                <w:t>200 Ft</w:t>
              </w:r>
            </w:smartTag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Égéstermék paramétereinek 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 ****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0,30/paraméter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Ft"/>
              </w:smartTagPr>
              <w:r>
                <w:rPr>
                  <w:sz w:val="20"/>
                  <w:szCs w:val="20"/>
                </w:rPr>
                <w:t>600 Ft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szaki biztonsági felülvizsgálat meglétének</w:t>
            </w:r>
          </w:p>
          <w:p w:rsidR="00DA004C" w:rsidRDefault="00DA004C" w:rsidP="001E71D8">
            <w:pPr>
              <w:autoSpaceDE w:val="0"/>
            </w:pPr>
            <w:r>
              <w:rPr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 ****</w:t>
            </w:r>
          </w:p>
          <w:p w:rsidR="00DA004C" w:rsidRDefault="00DA004C" w:rsidP="001E71D8">
            <w:pPr>
              <w:autoSpaceDE w:val="0"/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0,05/db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Ft"/>
              </w:smartTagPr>
              <w:r>
                <w:rPr>
                  <w:sz w:val="20"/>
                  <w:szCs w:val="20"/>
                </w:rPr>
                <w:t>100 Ft</w:t>
              </w:r>
            </w:smartTag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Megrendelésre kötelező tevékenységek: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  <w:shd w:val="clear" w:color="auto" w:fill="C0C0C0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  <w:shd w:val="clear" w:color="auto" w:fill="C0C0C0"/>
              </w:rPr>
            </w:pP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sormunka keretében feltárt az égéstermék –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járatában lerakódott, csak égetéssel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eltávolítható szurokréteg kiégetése külön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egyeztetés alapján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2,00/db/óra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Ft/db/óra </w:t>
            </w: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Közvetlen homlokzati égéstermék-kivezetéssel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rendelkez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berendezések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jének 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rzése, tisztítása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0,34/db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Ft/db/alkalom</w:t>
            </w: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10 000 cm2 feletti járat keresztmetszet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ű </w:t>
            </w:r>
            <w:r>
              <w:rPr>
                <w:sz w:val="20"/>
                <w:szCs w:val="20"/>
              </w:rPr>
              <w:t>égéstermék-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rzése, tisztítása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Ft/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  <w:r>
              <w:rPr>
                <w:sz w:val="20"/>
                <w:szCs w:val="20"/>
              </w:rPr>
              <w:t>/alkalom</w:t>
            </w:r>
          </w:p>
        </w:tc>
      </w:tr>
      <w:tr w:rsidR="00DA004C" w:rsidTr="001E71D8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1.5. alatti tevékenységeket további kiszállási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 terheli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Ft/alkalom 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0"/>
          <w:szCs w:val="20"/>
        </w:rPr>
        <w:t>Megjegyzés:</w:t>
      </w: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A négyévenkénti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felülvizsgálat díja a díjakba beépítésre került.</w:t>
      </w: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0"/>
          <w:szCs w:val="20"/>
        </w:rPr>
        <w:t>** Mellékcsatornás gy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jt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jelleg</w:t>
      </w:r>
      <w:r>
        <w:rPr>
          <w:rFonts w:ascii="TimesNewRoman" w:hAnsi="TimesNewRoman" w:cs="TimesNewRoman" w:hint="eastAsia"/>
          <w:sz w:val="20"/>
          <w:szCs w:val="20"/>
        </w:rPr>
        <w:t xml:space="preserve">ű </w:t>
      </w:r>
      <w:r>
        <w:rPr>
          <w:sz w:val="20"/>
          <w:szCs w:val="20"/>
        </w:rPr>
        <w:t>égéstermék-elvezet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esetében a mellékcsatornát plusz szintnek kell tekinteni.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2"/>
          <w:szCs w:val="22"/>
        </w:rPr>
      </w:pPr>
      <w:r>
        <w:rPr>
          <w:sz w:val="20"/>
          <w:szCs w:val="20"/>
        </w:rPr>
        <w:t>2.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vizsgálatok díjtételei</w:t>
      </w:r>
    </w:p>
    <w:p w:rsidR="00DA004C" w:rsidRDefault="00DA004C" w:rsidP="00DA004C">
      <w:pPr>
        <w:autoSpaceDE w:val="0"/>
        <w:rPr>
          <w:sz w:val="22"/>
          <w:szCs w:val="22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2"/>
          <w:szCs w:val="22"/>
        </w:rPr>
        <w:t>a</w:t>
      </w:r>
      <w:r>
        <w:rPr>
          <w:sz w:val="20"/>
          <w:szCs w:val="20"/>
        </w:rPr>
        <w:t xml:space="preserve">) A természetes személy tulajdonában </w:t>
      </w:r>
      <w:proofErr w:type="gramStart"/>
      <w:r>
        <w:rPr>
          <w:sz w:val="20"/>
          <w:szCs w:val="20"/>
        </w:rPr>
        <w:t>lév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lakhatás célját szolgáló ingatlanok és id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legesen használt ingatlanok esetében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tbl>
      <w:tblPr>
        <w:tblW w:w="0" w:type="auto"/>
        <w:tblInd w:w="-145" w:type="dxa"/>
        <w:tblLayout w:type="fixed"/>
        <w:tblLook w:val="04A0" w:firstRow="1" w:lastRow="0" w:firstColumn="1" w:lastColumn="0" w:noHBand="0" w:noVBand="1"/>
      </w:tblPr>
      <w:tblGrid>
        <w:gridCol w:w="1596"/>
        <w:gridCol w:w="1687"/>
        <w:gridCol w:w="1552"/>
        <w:gridCol w:w="1729"/>
        <w:gridCol w:w="1708"/>
        <w:gridCol w:w="1867"/>
      </w:tblGrid>
      <w:tr w:rsidR="00DA004C" w:rsidTr="001E71D8">
        <w:trPr>
          <w:trHeight w:val="148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 Új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kivitelezés közbeni, eltakarás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10 Ft"/>
              </w:smartTagPr>
              <w:r>
                <w:rPr>
                  <w:sz w:val="20"/>
                  <w:szCs w:val="20"/>
                </w:rPr>
                <w:t>3010 Ft</w:t>
              </w:r>
            </w:smartTag>
            <w:r>
              <w:rPr>
                <w:sz w:val="20"/>
                <w:szCs w:val="20"/>
              </w:rPr>
              <w:t xml:space="preserve"> +ÁFA/db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350 Ft"/>
              </w:smartTagPr>
              <w:r>
                <w:rPr>
                  <w:sz w:val="20"/>
                  <w:szCs w:val="20"/>
                </w:rPr>
                <w:t>9350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12 230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Újonnan épített vagy szerelt felújított, átalakított vagy újból használatba vett égéstermék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üzembe helyezés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4 810Ft+ 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14390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 Ft+ ÁFA/db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váltás,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csere, új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üzembe helyezése esetén az üzembe helyezést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az érintett égéstermét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9350Ft+ ÁFA 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230 Ft"/>
              </w:smartTagPr>
              <w:r>
                <w:rPr>
                  <w:sz w:val="20"/>
                  <w:szCs w:val="20"/>
                </w:rPr>
                <w:t>12230 Ft</w:t>
              </w:r>
            </w:smartTag>
            <w:r>
              <w:rPr>
                <w:sz w:val="20"/>
                <w:szCs w:val="20"/>
              </w:rPr>
              <w:t xml:space="preserve"> +ÁFA /db</w:t>
            </w: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Meglév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bontását, funkciójának megváltozását, használaton kívül helyezését, illetve az égéstermék-elvezetőt érint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átalakítást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helyszíni vizsgálat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 xml:space="preserve"> 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50 Ft"/>
              </w:smartTagPr>
              <w:r>
                <w:rPr>
                  <w:sz w:val="20"/>
                  <w:szCs w:val="20"/>
                </w:rPr>
                <w:t>7550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80 Ft"/>
              </w:smartTagPr>
              <w:r>
                <w:rPr>
                  <w:sz w:val="20"/>
                  <w:szCs w:val="20"/>
                </w:rPr>
                <w:t>9780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 2.1. – 2.4. pont alatti tevékenységeket további kiszállási díj terheli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</w:pPr>
      <w:r>
        <w:rPr>
          <w:sz w:val="20"/>
          <w:szCs w:val="20"/>
        </w:rPr>
        <w:t>b) Az a) pontba nem tartozó ingatlanok esetében</w:t>
      </w:r>
    </w:p>
    <w:tbl>
      <w:tblPr>
        <w:tblW w:w="0" w:type="auto"/>
        <w:tblInd w:w="-145" w:type="dxa"/>
        <w:tblLayout w:type="fixed"/>
        <w:tblLook w:val="04A0" w:firstRow="1" w:lastRow="0" w:firstColumn="1" w:lastColumn="0" w:noHBand="0" w:noVBand="1"/>
      </w:tblPr>
      <w:tblGrid>
        <w:gridCol w:w="1596"/>
        <w:gridCol w:w="1687"/>
        <w:gridCol w:w="1552"/>
        <w:gridCol w:w="1729"/>
        <w:gridCol w:w="1708"/>
        <w:gridCol w:w="1867"/>
      </w:tblGrid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snapToGrid w:val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NZH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NZT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 Új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kivitelezés közbeni, eltakarás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60 Ft"/>
              </w:smartTagPr>
              <w:r>
                <w:rPr>
                  <w:sz w:val="20"/>
                  <w:szCs w:val="20"/>
                </w:rPr>
                <w:t>3360 Ft</w:t>
              </w:r>
            </w:smartTag>
            <w:r>
              <w:rPr>
                <w:sz w:val="20"/>
                <w:szCs w:val="20"/>
              </w:rPr>
              <w:t xml:space="preserve"> +ÁFA/db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Újonnan épített vagy szerelt felújított, átalakított vagy újból használatba vett égéstermék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üzembe helyezés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5360Ft+ÁFA / 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Ft+ ÁFA/db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váltás,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csere, új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üzembe helyezése esetén az üzembe helyezést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az érintett égéstermét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vizsgálata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10400Ft+ÁFA 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600 Ft"/>
              </w:smartTagPr>
              <w:r>
                <w:rPr>
                  <w:sz w:val="20"/>
                  <w:szCs w:val="20"/>
                </w:rPr>
                <w:t>13600 Ft</w:t>
              </w:r>
            </w:smartTag>
            <w:r>
              <w:rPr>
                <w:sz w:val="20"/>
                <w:szCs w:val="20"/>
              </w:rPr>
              <w:t xml:space="preserve"> +ÁFA /db</w:t>
            </w: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Meglév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bontását, funkciójának megváltozását, használaton kívül helyezését, illetve az égéstermék-elvezetőt érint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átalakítást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helyszíni vizsgálat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2,72/db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 xml:space="preserve"> 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400 Ft"/>
              </w:smartTagPr>
              <w:r>
                <w:rPr>
                  <w:sz w:val="20"/>
                  <w:szCs w:val="20"/>
                </w:rPr>
                <w:t>8400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10880Ft + ÁFA/ db</w:t>
            </w:r>
          </w:p>
        </w:tc>
      </w:tr>
      <w:tr w:rsidR="00DA004C" w:rsidTr="001E71D8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 2.1. – 2.4. pont alatti tevékenységeket további kiszállási díj terheli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</w:tr>
      <w:tr w:rsidR="00DA004C" w:rsidTr="001E71D8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0"/>
            <w:szCs w:val="20"/>
          </w:rPr>
          <w:t>3. A</w:t>
        </w:r>
      </w:smartTag>
      <w:r>
        <w:rPr>
          <w:sz w:val="20"/>
          <w:szCs w:val="20"/>
        </w:rPr>
        <w:t xml:space="preserve">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megoldás megfelel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ségével összefügg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, megrendelt vizsgálatok díjtételei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a) A természetes személy tulajdonában </w:t>
      </w:r>
      <w:proofErr w:type="gramStart"/>
      <w:r>
        <w:rPr>
          <w:sz w:val="20"/>
          <w:szCs w:val="20"/>
        </w:rPr>
        <w:t>lév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lakhatás célját szolgáló ingatlanok és id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legesen használt ingatlanok esetében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53"/>
      </w:tblGrid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 lakás, illetve rendeltetési egység esetében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790 Ft"/>
              </w:smartTagPr>
              <w:r>
                <w:rPr>
                  <w:sz w:val="20"/>
                  <w:szCs w:val="20"/>
                </w:rPr>
                <w:t>10 790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– hat lakás, illetve rendeltetési egység esetében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 580 Ft"/>
              </w:smartTagPr>
              <w:r>
                <w:rPr>
                  <w:sz w:val="20"/>
                  <w:szCs w:val="20"/>
                </w:rPr>
                <w:t>21 580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Hatnál több lakás, illetve rendeltetési egység esetében épületenként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 370 Ft"/>
              </w:smartTagPr>
              <w:r>
                <w:rPr>
                  <w:sz w:val="20"/>
                  <w:szCs w:val="20"/>
                </w:rPr>
                <w:t>32 370 Ft</w:t>
              </w:r>
            </w:smartTag>
            <w:r>
              <w:rPr>
                <w:sz w:val="20"/>
                <w:szCs w:val="20"/>
              </w:rPr>
              <w:t xml:space="preserve"> + ÁFA 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 központi kéménnyel 60 – 140 kW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 580 Ft"/>
              </w:smartTagPr>
              <w:r>
                <w:rPr>
                  <w:sz w:val="20"/>
                  <w:szCs w:val="20"/>
                </w:rPr>
                <w:t>21 580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.Ipari</w:t>
            </w:r>
            <w:proofErr w:type="gramEnd"/>
            <w:r>
              <w:rPr>
                <w:sz w:val="20"/>
                <w:szCs w:val="20"/>
              </w:rPr>
              <w:t xml:space="preserve"> és kommunális létesítmények esetében 140 kW felett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975 Ft"/>
              </w:smartTagPr>
              <w:r>
                <w:rPr>
                  <w:sz w:val="20"/>
                  <w:szCs w:val="20"/>
                </w:rPr>
                <w:t>26 975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Helyszíni szaktanácsadás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1,00/db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790 Ft"/>
              </w:smartTagPr>
              <w:r>
                <w:rPr>
                  <w:sz w:val="20"/>
                  <w:szCs w:val="20"/>
                </w:rPr>
                <w:t>10 790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</w:pPr>
            <w:r>
              <w:rPr>
                <w:sz w:val="20"/>
                <w:szCs w:val="20"/>
              </w:rPr>
              <w:t>A 3.6. alatti tevékenységet további, a 2.5. szerinti kiszállási díj terheli</w:t>
            </w:r>
          </w:p>
        </w:tc>
      </w:tr>
    </w:tbl>
    <w:p w:rsidR="00DA004C" w:rsidRDefault="00DA004C" w:rsidP="00DA004C">
      <w:pPr>
        <w:autoSpaceDE w:val="0"/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</w:p>
    <w:p w:rsidR="00DA004C" w:rsidRDefault="00DA004C" w:rsidP="00DA004C">
      <w:pPr>
        <w:autoSpaceDE w:val="0"/>
        <w:rPr>
          <w:sz w:val="20"/>
          <w:szCs w:val="20"/>
        </w:rPr>
      </w:pPr>
      <w:r>
        <w:rPr>
          <w:sz w:val="20"/>
          <w:szCs w:val="20"/>
        </w:rPr>
        <w:t>b) Az a) pontba nem tartozó ingatlanok esetében</w:t>
      </w:r>
    </w:p>
    <w:p w:rsidR="00DA004C" w:rsidRDefault="00DA004C" w:rsidP="00DA004C">
      <w:pPr>
        <w:autoSpaceDE w:val="0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53"/>
      </w:tblGrid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 lakás, illetve rendeltetési egység esetében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00 Ft"/>
              </w:smartTagPr>
              <w:r>
                <w:rPr>
                  <w:sz w:val="20"/>
                  <w:szCs w:val="20"/>
                </w:rPr>
                <w:t>12000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– hat lakás, illetve rendeltetési egység esetében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000 Ft"/>
              </w:smartTagPr>
              <w:r>
                <w:rPr>
                  <w:sz w:val="20"/>
                  <w:szCs w:val="20"/>
                </w:rPr>
                <w:t>24000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Hatnál több lakás, illetve rendeltetési egység esetében épületenként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000 Ft"/>
              </w:smartTagPr>
              <w:r>
                <w:rPr>
                  <w:sz w:val="20"/>
                  <w:szCs w:val="20"/>
                </w:rPr>
                <w:t>36000 Ft</w:t>
              </w:r>
            </w:smartTag>
            <w:r>
              <w:rPr>
                <w:sz w:val="20"/>
                <w:szCs w:val="20"/>
              </w:rPr>
              <w:t xml:space="preserve"> + ÁFA 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 központi kéménnyel 60 – 140 kW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000 Ft"/>
              </w:smartTagPr>
              <w:r>
                <w:rPr>
                  <w:sz w:val="20"/>
                  <w:szCs w:val="20"/>
                </w:rPr>
                <w:t>24000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.Ipari</w:t>
            </w:r>
            <w:proofErr w:type="gramEnd"/>
            <w:r>
              <w:rPr>
                <w:sz w:val="20"/>
                <w:szCs w:val="20"/>
              </w:rPr>
              <w:t xml:space="preserve"> és kommunális létesítmények esetében 140 kW felett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00 Ft"/>
              </w:smartTagPr>
              <w:r>
                <w:rPr>
                  <w:sz w:val="20"/>
                  <w:szCs w:val="20"/>
                </w:rPr>
                <w:t>30000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Helyszíni szaktanácsadás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1,00/db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00 Ft"/>
              </w:smartTagPr>
              <w:r>
                <w:rPr>
                  <w:sz w:val="20"/>
                  <w:szCs w:val="20"/>
                </w:rPr>
                <w:t>12000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DA004C" w:rsidTr="001E71D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04C" w:rsidRDefault="00DA004C" w:rsidP="001E71D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04C" w:rsidRDefault="00DA004C" w:rsidP="001E71D8">
            <w:pPr>
              <w:autoSpaceDE w:val="0"/>
            </w:pPr>
            <w:r>
              <w:rPr>
                <w:sz w:val="20"/>
                <w:szCs w:val="20"/>
              </w:rPr>
              <w:t>A 3.6. alatti tevékenységet további, a 2.5. szerinti kiszállási díj terheli</w:t>
            </w:r>
          </w:p>
        </w:tc>
      </w:tr>
    </w:tbl>
    <w:p w:rsidR="00DA004C" w:rsidRPr="00606B50" w:rsidRDefault="00DA004C" w:rsidP="00DA004C">
      <w:pPr>
        <w:suppressAutoHyphens w:val="0"/>
        <w:spacing w:before="100" w:beforeAutospacing="1" w:after="100" w:afterAutospacing="1"/>
        <w:rPr>
          <w:rFonts w:cs="Times New Roman"/>
          <w:kern w:val="0"/>
          <w:sz w:val="28"/>
          <w:szCs w:val="28"/>
          <w:lang w:eastAsia="hu-HU" w:bidi="ar-SA"/>
        </w:rPr>
      </w:pPr>
    </w:p>
    <w:p w:rsidR="00DA004C" w:rsidRDefault="00DA004C"/>
    <w:sectPr w:rsidR="00DA004C" w:rsidSect="0068211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606B50" w:rsidRDefault="00DA004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50" w:rsidRDefault="00DA00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4C"/>
    <w:rsid w:val="00D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1EBE-C325-4B50-B1E1-DC164C07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004C"/>
    <w:pPr>
      <w:suppressAutoHyphens/>
      <w:spacing w:after="0" w:line="240" w:lineRule="auto"/>
    </w:pPr>
    <w:rPr>
      <w:rFonts w:ascii="Times New Roman" w:eastAsia="Calibri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DA004C"/>
    <w:pPr>
      <w:spacing w:after="120"/>
    </w:pPr>
    <w:rPr>
      <w:rFonts w:eastAsia="Times New Roman" w:cs="Times New Roman"/>
      <w:kern w:val="0"/>
      <w:lang w:eastAsia="zh-CN" w:bidi="ar-SA"/>
    </w:rPr>
  </w:style>
  <w:style w:type="character" w:customStyle="1" w:styleId="SzvegtrzsChar">
    <w:name w:val="Szövegtörzs Char"/>
    <w:basedOn w:val="Bekezdsalapbettpusa"/>
    <w:link w:val="Szvegtrzs"/>
    <w:semiHidden/>
    <w:rsid w:val="00DA00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DA00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A004C"/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DA00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A004C"/>
    <w:rPr>
      <w:rFonts w:ascii="Times New Roman" w:eastAsia="Calibri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7279</Characters>
  <Application>Microsoft Office Word</Application>
  <DocSecurity>0</DocSecurity>
  <Lines>60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2020-04-20T07:55:00Z</dcterms:created>
  <dcterms:modified xsi:type="dcterms:W3CDTF">2020-04-20T07:55:00Z</dcterms:modified>
</cp:coreProperties>
</file>