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51" w:rsidRPr="003A176B" w:rsidRDefault="00FD5A51" w:rsidP="00FD5A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Általános indokolás</w:t>
      </w:r>
    </w:p>
    <w:p w:rsidR="00FD5A51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Az államháztartásról szóló 2011. évi CXCV. törvény 23.§-a szerint a helyi önkormányzat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költségvetéséről rendeletben dönt, és meghatározza, hogy a rendeletnek milyen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előirányzatokat, illetve rendelkezéseket kell kötelezően tartalmaznia. A rendelet-tervezetben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az Áht. 23.§ (2) bekezdés a) pontjának módosított szabályai szerint az önkormányzat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költségvetési bevételei és költségvetési kiadásai előirányzat csoportok, önként vállalt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állami kiemelt előirányzatok, kötelező feladatok szerinti bontásban kerültek bemutatásra.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A költségvetés összeállításának részletes szabályait az államháztartásról szóló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 xml:space="preserve">végrehajtásáról szóló 368/2011.(XII.31.) Korm. rendelet, a </w:t>
      </w:r>
      <w:proofErr w:type="gramStart"/>
      <w:r w:rsidRPr="003A176B">
        <w:rPr>
          <w:rFonts w:ascii="Times New Roman" w:hAnsi="Times New Roman"/>
          <w:sz w:val="24"/>
          <w:szCs w:val="24"/>
        </w:rPr>
        <w:t>finanszírozás</w:t>
      </w:r>
      <w:proofErr w:type="gramEnd"/>
      <w:r w:rsidRPr="003A176B">
        <w:rPr>
          <w:rFonts w:ascii="Times New Roman" w:hAnsi="Times New Roman"/>
          <w:sz w:val="24"/>
          <w:szCs w:val="24"/>
        </w:rPr>
        <w:t xml:space="preserve"> rendjét és az állami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hozzájárulás mértékét a központi költségvetésről szóló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határozza meg.</w:t>
      </w:r>
    </w:p>
    <w:p w:rsidR="00FD5A51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51" w:rsidRPr="003A176B" w:rsidRDefault="00FD5A51" w:rsidP="00FD5A51">
      <w:pPr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Részletes indokolás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1. §</w:t>
      </w:r>
      <w:r>
        <w:rPr>
          <w:rFonts w:ascii="Times New Roman" w:hAnsi="Times New Roman"/>
          <w:sz w:val="24"/>
          <w:szCs w:val="24"/>
        </w:rPr>
        <w:t>: A</w:t>
      </w:r>
      <w:r w:rsidRPr="003A176B">
        <w:rPr>
          <w:rFonts w:ascii="Times New Roman" w:hAnsi="Times New Roman"/>
          <w:sz w:val="24"/>
          <w:szCs w:val="24"/>
        </w:rPr>
        <w:t xml:space="preserve"> rendelet hatályát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2. §</w:t>
      </w:r>
      <w:r>
        <w:rPr>
          <w:rFonts w:ascii="Times New Roman" w:hAnsi="Times New Roman"/>
          <w:sz w:val="24"/>
          <w:szCs w:val="24"/>
        </w:rPr>
        <w:t>: A</w:t>
      </w:r>
      <w:r w:rsidRPr="003A176B">
        <w:rPr>
          <w:rFonts w:ascii="Times New Roman" w:hAnsi="Times New Roman"/>
          <w:sz w:val="24"/>
          <w:szCs w:val="24"/>
        </w:rPr>
        <w:t xml:space="preserve"> költségvetés </w:t>
      </w:r>
      <w:proofErr w:type="spellStart"/>
      <w:r w:rsidRPr="003A176B">
        <w:rPr>
          <w:rFonts w:ascii="Times New Roman" w:hAnsi="Times New Roman"/>
          <w:sz w:val="24"/>
          <w:szCs w:val="24"/>
        </w:rPr>
        <w:t>főösszegét</w:t>
      </w:r>
      <w:proofErr w:type="spellEnd"/>
      <w:r w:rsidRPr="003A176B">
        <w:rPr>
          <w:rFonts w:ascii="Times New Roman" w:hAnsi="Times New Roman"/>
          <w:sz w:val="24"/>
          <w:szCs w:val="24"/>
        </w:rPr>
        <w:t xml:space="preserve">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3.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>A kiemelt előirányzatokat és az engedélyezett létszámot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4.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>A mellékletek felsorolását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5. §</w:t>
      </w:r>
      <w:r>
        <w:rPr>
          <w:rFonts w:ascii="Times New Roman" w:hAnsi="Times New Roman"/>
          <w:sz w:val="24"/>
          <w:szCs w:val="24"/>
        </w:rPr>
        <w:t>: A forráshiány kezelésének módjára vonatkozó rendelkezéseket tartalmaz.</w:t>
      </w:r>
    </w:p>
    <w:p w:rsidR="00FD5A51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§ - </w:t>
      </w:r>
      <w:r w:rsidRPr="003A176B">
        <w:rPr>
          <w:rFonts w:ascii="Times New Roman" w:hAnsi="Times New Roman"/>
          <w:sz w:val="24"/>
          <w:szCs w:val="24"/>
        </w:rPr>
        <w:t>7.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>Az előirányzat módosításra, a</w:t>
      </w:r>
      <w:r>
        <w:rPr>
          <w:rFonts w:ascii="Times New Roman" w:hAnsi="Times New Roman"/>
          <w:sz w:val="24"/>
          <w:szCs w:val="24"/>
        </w:rPr>
        <w:t xml:space="preserve"> gazdálkodásra és a végrehajtásra </w:t>
      </w:r>
      <w:r w:rsidRPr="003A176B">
        <w:rPr>
          <w:rFonts w:ascii="Times New Roman" w:hAnsi="Times New Roman"/>
          <w:sz w:val="24"/>
          <w:szCs w:val="24"/>
        </w:rPr>
        <w:t>vonatkozó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szabályokat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§: A leltározásra vonatkozó szabályokat tartalmazza.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9. §</w:t>
      </w:r>
      <w:r>
        <w:rPr>
          <w:rFonts w:ascii="Times New Roman" w:hAnsi="Times New Roman"/>
          <w:sz w:val="24"/>
          <w:szCs w:val="24"/>
        </w:rPr>
        <w:t xml:space="preserve">: A végrehajtásra vonatkozó felelősségi szabályt és a számlavezető pénzintézet megnevezését tartalmazza. </w:t>
      </w:r>
    </w:p>
    <w:p w:rsidR="00FD5A51" w:rsidRPr="003A176B" w:rsidRDefault="00FD5A51" w:rsidP="00FD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§: </w:t>
      </w:r>
      <w:r w:rsidRPr="003A176B">
        <w:rPr>
          <w:rFonts w:ascii="Times New Roman" w:hAnsi="Times New Roman"/>
          <w:sz w:val="24"/>
          <w:szCs w:val="24"/>
        </w:rPr>
        <w:t>A hatályba lépétető rendelkezést határozza meg.</w:t>
      </w:r>
    </w:p>
    <w:p w:rsidR="005A689B" w:rsidRDefault="005A689B">
      <w:bookmarkStart w:id="0" w:name="_GoBack"/>
      <w:bookmarkEnd w:id="0"/>
    </w:p>
    <w:sectPr w:rsidR="005A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51"/>
    <w:rsid w:val="005A689B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677DE-EB62-4176-A0B7-08B4234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A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2020-03-06T09:41:00Z</dcterms:created>
  <dcterms:modified xsi:type="dcterms:W3CDTF">2020-03-06T09:41:00Z</dcterms:modified>
</cp:coreProperties>
</file>