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80" w:rsidRPr="00665DC8" w:rsidRDefault="000D2B80" w:rsidP="000D2B80">
      <w:pPr>
        <w:jc w:val="right"/>
        <w:rPr>
          <w:b/>
        </w:rPr>
      </w:pPr>
      <w:r w:rsidRPr="00665DC8">
        <w:rPr>
          <w:b/>
        </w:rPr>
        <w:t>1. melléklet</w:t>
      </w:r>
      <w:r>
        <w:rPr>
          <w:b/>
        </w:rPr>
        <w:t xml:space="preserve"> </w:t>
      </w:r>
      <w:proofErr w:type="gramStart"/>
      <w:r>
        <w:rPr>
          <w:b/>
        </w:rPr>
        <w:t>a  21</w:t>
      </w:r>
      <w:proofErr w:type="gramEnd"/>
      <w:r>
        <w:rPr>
          <w:b/>
        </w:rPr>
        <w:t>/2017. (XI1.13.) önkormányzati rendelethez</w:t>
      </w:r>
    </w:p>
    <w:p w:rsidR="000D2B80" w:rsidRDefault="000D2B80" w:rsidP="000D2B80">
      <w:pPr>
        <w:jc w:val="center"/>
        <w:rPr>
          <w:b/>
          <w:sz w:val="28"/>
          <w:szCs w:val="28"/>
        </w:rPr>
      </w:pPr>
    </w:p>
    <w:p w:rsidR="000D2B80" w:rsidRPr="0081279C" w:rsidRDefault="000D2B80" w:rsidP="000D2B80">
      <w:pPr>
        <w:jc w:val="center"/>
        <w:rPr>
          <w:b/>
          <w:sz w:val="28"/>
          <w:szCs w:val="28"/>
        </w:rPr>
      </w:pPr>
    </w:p>
    <w:p w:rsidR="000D2B80" w:rsidRPr="0081279C" w:rsidRDefault="000D2B80" w:rsidP="000D2B80">
      <w:pPr>
        <w:jc w:val="center"/>
        <w:rPr>
          <w:b/>
          <w:sz w:val="28"/>
          <w:szCs w:val="28"/>
        </w:rPr>
      </w:pPr>
      <w:r w:rsidRPr="0081279C">
        <w:rPr>
          <w:b/>
          <w:sz w:val="28"/>
          <w:szCs w:val="28"/>
        </w:rPr>
        <w:t xml:space="preserve">Közterület-használati </w:t>
      </w:r>
      <w:proofErr w:type="gramStart"/>
      <w:r w:rsidRPr="0081279C">
        <w:rPr>
          <w:b/>
          <w:sz w:val="28"/>
          <w:szCs w:val="28"/>
        </w:rPr>
        <w:t>díjak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áfa mentes)</w:t>
      </w:r>
    </w:p>
    <w:p w:rsidR="000D2B80" w:rsidRPr="00E8468F" w:rsidRDefault="000D2B80" w:rsidP="000D2B80"/>
    <w:tbl>
      <w:tblPr>
        <w:tblW w:w="8998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5453"/>
        <w:gridCol w:w="3119"/>
      </w:tblGrid>
      <w:tr w:rsidR="000D2B80" w:rsidRPr="00E8468F" w:rsidTr="006115CF">
        <w:trPr>
          <w:trHeight w:val="1452"/>
        </w:trPr>
        <w:tc>
          <w:tcPr>
            <w:tcW w:w="426" w:type="dxa"/>
          </w:tcPr>
          <w:p w:rsidR="000D2B80" w:rsidRPr="00E8468F" w:rsidRDefault="000D2B80" w:rsidP="006115CF"/>
          <w:p w:rsidR="000D2B80" w:rsidRPr="00E8468F" w:rsidRDefault="000D2B80" w:rsidP="006115CF">
            <w:r w:rsidRPr="00E8468F">
              <w:t>1.</w:t>
            </w:r>
          </w:p>
        </w:tc>
        <w:tc>
          <w:tcPr>
            <w:tcW w:w="5453" w:type="dxa"/>
          </w:tcPr>
          <w:p w:rsidR="000D2B80" w:rsidRPr="00E8468F" w:rsidRDefault="000D2B80" w:rsidP="006115CF">
            <w:r w:rsidRPr="00E8468F">
              <w:t xml:space="preserve">A közterületbe benyúló üzlethomlokzatok (portál), kirakatszekrény, üzleti védőtető (előtető), ernyőszerkezet, hirdető berendezés (fényreklám), </w:t>
            </w:r>
          </w:p>
          <w:p w:rsidR="000D2B80" w:rsidRPr="00E8468F" w:rsidRDefault="000D2B80" w:rsidP="006115CF">
            <w:r w:rsidRPr="00E8468F">
              <w:t>cég- és címtábla</w:t>
            </w:r>
          </w:p>
        </w:tc>
        <w:tc>
          <w:tcPr>
            <w:tcW w:w="3119" w:type="dxa"/>
            <w:vAlign w:val="center"/>
          </w:tcPr>
          <w:p w:rsidR="000D2B80" w:rsidRPr="00E8468F" w:rsidRDefault="000D2B80" w:rsidP="006115CF">
            <w:pPr>
              <w:jc w:val="center"/>
              <w:rPr>
                <w:vertAlign w:val="superscript"/>
              </w:rPr>
            </w:pPr>
            <w:r>
              <w:rPr>
                <w:b/>
              </w:rPr>
              <w:t>1.900</w:t>
            </w:r>
            <w:r w:rsidRPr="00E8468F">
              <w:rPr>
                <w:b/>
              </w:rPr>
              <w:t>.-</w:t>
            </w:r>
            <w:r w:rsidRPr="00E8468F">
              <w:t>Ft/év/m</w:t>
            </w:r>
            <w:r w:rsidRPr="00E8468F">
              <w:rPr>
                <w:vertAlign w:val="superscript"/>
              </w:rPr>
              <w:t>2</w:t>
            </w:r>
          </w:p>
        </w:tc>
      </w:tr>
      <w:tr w:rsidR="000D2B80" w:rsidRPr="00E8468F" w:rsidTr="006115CF">
        <w:trPr>
          <w:trHeight w:val="693"/>
        </w:trPr>
        <w:tc>
          <w:tcPr>
            <w:tcW w:w="426" w:type="dxa"/>
            <w:vAlign w:val="center"/>
          </w:tcPr>
          <w:p w:rsidR="000D2B80" w:rsidRPr="00E8468F" w:rsidRDefault="000D2B80" w:rsidP="006115CF">
            <w:r w:rsidRPr="00E8468F">
              <w:t>2.</w:t>
            </w:r>
          </w:p>
        </w:tc>
        <w:tc>
          <w:tcPr>
            <w:tcW w:w="5453" w:type="dxa"/>
            <w:vAlign w:val="center"/>
          </w:tcPr>
          <w:p w:rsidR="000D2B80" w:rsidRPr="00E8468F" w:rsidRDefault="000D2B80" w:rsidP="006115CF">
            <w:pPr>
              <w:rPr>
                <w:color w:val="000000"/>
              </w:rPr>
            </w:pPr>
            <w:r w:rsidRPr="00E8468F">
              <w:rPr>
                <w:color w:val="000000"/>
              </w:rPr>
              <w:t>Kereskedelmi és egyéb szolgáltató tevékenység</w:t>
            </w:r>
          </w:p>
          <w:p w:rsidR="000D2B80" w:rsidRPr="00E8468F" w:rsidRDefault="000D2B80" w:rsidP="000D2B80">
            <w:pPr>
              <w:widowControl/>
              <w:numPr>
                <w:ilvl w:val="0"/>
                <w:numId w:val="4"/>
              </w:numPr>
              <w:suppressAutoHyphens w:val="0"/>
              <w:rPr>
                <w:color w:val="000000"/>
              </w:rPr>
            </w:pPr>
            <w:r w:rsidRPr="00E8468F">
              <w:t xml:space="preserve">cirkuszi, mutatványos tevékenység, </w:t>
            </w:r>
            <w:r w:rsidRPr="00E8468F">
              <w:rPr>
                <w:color w:val="000000"/>
              </w:rPr>
              <w:t>árusító eszköz, - berendezés elhelyezése</w:t>
            </w:r>
            <w:proofErr w:type="gramStart"/>
            <w:r w:rsidRPr="00E8468F">
              <w:rPr>
                <w:color w:val="000000"/>
              </w:rPr>
              <w:t xml:space="preserve">, </w:t>
            </w:r>
            <w:r w:rsidRPr="00E8468F">
              <w:t xml:space="preserve"> </w:t>
            </w:r>
            <w:r w:rsidRPr="00E8468F">
              <w:rPr>
                <w:rFonts w:cs="Arial"/>
                <w:color w:val="000000"/>
              </w:rPr>
              <w:t>kiállítás</w:t>
            </w:r>
            <w:proofErr w:type="gramEnd"/>
            <w:r w:rsidRPr="00E8468F">
              <w:rPr>
                <w:rFonts w:cs="Arial"/>
                <w:color w:val="000000"/>
              </w:rPr>
              <w:t>, vásár, fesztivál, alkalmi rendezvény)</w:t>
            </w:r>
          </w:p>
          <w:p w:rsidR="000D2B80" w:rsidRPr="00E8468F" w:rsidRDefault="000D2B80" w:rsidP="000D2B80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Arial"/>
                <w:color w:val="000000"/>
              </w:rPr>
            </w:pPr>
            <w:r w:rsidRPr="00E8468F">
              <w:t>idényjellegű, alkalmi és mozgóárusítás</w:t>
            </w:r>
          </w:p>
          <w:p w:rsidR="000D2B80" w:rsidRPr="00E8468F" w:rsidRDefault="000D2B80" w:rsidP="000D2B80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Arial"/>
                <w:color w:val="000000"/>
              </w:rPr>
            </w:pPr>
            <w:proofErr w:type="spellStart"/>
            <w:r w:rsidRPr="00E8468F">
              <w:t>vendéglátóipari</w:t>
            </w:r>
            <w:proofErr w:type="spellEnd"/>
            <w:r w:rsidRPr="00E8468F">
              <w:t xml:space="preserve"> előkert</w:t>
            </w:r>
          </w:p>
          <w:p w:rsidR="000D2B80" w:rsidRPr="00E8468F" w:rsidRDefault="000D2B80" w:rsidP="006115CF"/>
        </w:tc>
        <w:tc>
          <w:tcPr>
            <w:tcW w:w="3119" w:type="dxa"/>
            <w:vAlign w:val="center"/>
          </w:tcPr>
          <w:p w:rsidR="000D2B80" w:rsidRPr="00E8468F" w:rsidRDefault="000D2B80" w:rsidP="006115C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100</w:t>
            </w:r>
            <w:r w:rsidRPr="00E8468F">
              <w:rPr>
                <w:b/>
                <w:sz w:val="23"/>
                <w:szCs w:val="23"/>
              </w:rPr>
              <w:t>0.-Ft/m</w:t>
            </w:r>
            <w:r w:rsidRPr="00E8468F">
              <w:rPr>
                <w:b/>
                <w:sz w:val="23"/>
                <w:szCs w:val="23"/>
                <w:vertAlign w:val="superscript"/>
              </w:rPr>
              <w:t>2</w:t>
            </w:r>
            <w:r w:rsidRPr="00E8468F">
              <w:rPr>
                <w:b/>
                <w:sz w:val="23"/>
                <w:szCs w:val="23"/>
              </w:rPr>
              <w:t>/hó</w:t>
            </w:r>
          </w:p>
          <w:p w:rsidR="000D2B80" w:rsidRPr="00E8468F" w:rsidRDefault="000D2B80" w:rsidP="006115CF">
            <w:pPr>
              <w:jc w:val="center"/>
              <w:rPr>
                <w:i/>
                <w:sz w:val="23"/>
                <w:szCs w:val="23"/>
              </w:rPr>
            </w:pPr>
          </w:p>
          <w:p w:rsidR="000D2B80" w:rsidRPr="00E8468F" w:rsidRDefault="000D2B80" w:rsidP="006115CF">
            <w:pPr>
              <w:jc w:val="center"/>
              <w:rPr>
                <w:rFonts w:cs="Arial Unicode MS"/>
                <w:b/>
                <w:sz w:val="23"/>
                <w:szCs w:val="23"/>
              </w:rPr>
            </w:pPr>
          </w:p>
          <w:p w:rsidR="000D2B80" w:rsidRPr="00E8468F" w:rsidRDefault="000D2B80" w:rsidP="006115CF">
            <w:pPr>
              <w:jc w:val="center"/>
              <w:rPr>
                <w:rFonts w:cs="Arial Unicode MS"/>
                <w:i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30</w:t>
            </w:r>
            <w:r w:rsidRPr="00E8468F">
              <w:rPr>
                <w:b/>
                <w:sz w:val="23"/>
                <w:szCs w:val="23"/>
              </w:rPr>
              <w:t>0.Ft/m</w:t>
            </w:r>
            <w:r w:rsidRPr="00E8468F">
              <w:rPr>
                <w:b/>
                <w:sz w:val="23"/>
                <w:szCs w:val="23"/>
                <w:vertAlign w:val="superscript"/>
              </w:rPr>
              <w:t>2</w:t>
            </w:r>
            <w:r w:rsidRPr="00E8468F">
              <w:rPr>
                <w:b/>
                <w:sz w:val="23"/>
                <w:szCs w:val="23"/>
              </w:rPr>
              <w:t>/nap</w:t>
            </w:r>
          </w:p>
          <w:p w:rsidR="000D2B80" w:rsidRPr="00E8468F" w:rsidRDefault="000D2B80" w:rsidP="006115CF">
            <w:pPr>
              <w:ind w:right="-108"/>
              <w:jc w:val="center"/>
            </w:pPr>
            <w:r w:rsidRPr="00EB5EFB">
              <w:rPr>
                <w:b/>
                <w:i/>
                <w:sz w:val="23"/>
                <w:szCs w:val="23"/>
              </w:rPr>
              <w:t>7</w:t>
            </w:r>
            <w:r w:rsidRPr="00E8468F">
              <w:rPr>
                <w:rFonts w:cs="Arial Unicode MS"/>
                <w:b/>
                <w:sz w:val="23"/>
                <w:szCs w:val="23"/>
              </w:rPr>
              <w:t>0</w:t>
            </w:r>
            <w:r w:rsidRPr="00E8468F">
              <w:rPr>
                <w:b/>
                <w:sz w:val="23"/>
                <w:szCs w:val="23"/>
              </w:rPr>
              <w:t>.-Ft/m</w:t>
            </w:r>
            <w:r w:rsidRPr="00E8468F">
              <w:rPr>
                <w:b/>
                <w:sz w:val="23"/>
                <w:szCs w:val="23"/>
                <w:vertAlign w:val="superscript"/>
              </w:rPr>
              <w:t>2</w:t>
            </w:r>
            <w:r w:rsidRPr="00E8468F">
              <w:rPr>
                <w:b/>
                <w:sz w:val="23"/>
                <w:szCs w:val="23"/>
              </w:rPr>
              <w:t>/hó</w:t>
            </w:r>
          </w:p>
        </w:tc>
      </w:tr>
      <w:tr w:rsidR="000D2B80" w:rsidRPr="00E8468F" w:rsidTr="006115CF">
        <w:trPr>
          <w:trHeight w:val="1241"/>
        </w:trPr>
        <w:tc>
          <w:tcPr>
            <w:tcW w:w="426" w:type="dxa"/>
          </w:tcPr>
          <w:p w:rsidR="000D2B80" w:rsidRPr="00E8468F" w:rsidRDefault="000D2B80" w:rsidP="006115CF"/>
          <w:p w:rsidR="000D2B80" w:rsidRPr="00E8468F" w:rsidRDefault="000D2B80" w:rsidP="006115CF">
            <w:r w:rsidRPr="00E8468F">
              <w:t>3.</w:t>
            </w:r>
          </w:p>
        </w:tc>
        <w:tc>
          <w:tcPr>
            <w:tcW w:w="5453" w:type="dxa"/>
            <w:vAlign w:val="center"/>
          </w:tcPr>
          <w:p w:rsidR="000D2B80" w:rsidRPr="00E8468F" w:rsidRDefault="000D2B80" w:rsidP="006115CF">
            <w:r w:rsidRPr="00E8468F">
              <w:t>Személy- és áruszállítás állomáshelye – gépkocsinként (járműszerelvényenként)</w:t>
            </w:r>
          </w:p>
          <w:p w:rsidR="000D2B80" w:rsidRPr="00E8468F" w:rsidRDefault="000D2B80" w:rsidP="006115CF"/>
        </w:tc>
        <w:tc>
          <w:tcPr>
            <w:tcW w:w="3119" w:type="dxa"/>
          </w:tcPr>
          <w:p w:rsidR="000D2B80" w:rsidRDefault="000D2B80" w:rsidP="006115CF">
            <w:pPr>
              <w:jc w:val="center"/>
              <w:rPr>
                <w:b/>
              </w:rPr>
            </w:pPr>
          </w:p>
          <w:p w:rsidR="000D2B80" w:rsidRPr="00E8468F" w:rsidRDefault="000D2B80" w:rsidP="006115CF">
            <w:pPr>
              <w:jc w:val="center"/>
            </w:pPr>
            <w:r>
              <w:rPr>
                <w:b/>
              </w:rPr>
              <w:t>23.00</w:t>
            </w:r>
            <w:r w:rsidRPr="00E8468F">
              <w:rPr>
                <w:b/>
              </w:rPr>
              <w:t>0</w:t>
            </w:r>
            <w:r w:rsidRPr="00E8468F">
              <w:t>.-Ft/év/</w:t>
            </w:r>
            <w:proofErr w:type="spellStart"/>
            <w:r w:rsidRPr="00E8468F">
              <w:t>szgk</w:t>
            </w:r>
            <w:proofErr w:type="spellEnd"/>
          </w:p>
          <w:p w:rsidR="000D2B80" w:rsidRPr="00E8468F" w:rsidRDefault="000D2B80" w:rsidP="006115CF">
            <w:pPr>
              <w:jc w:val="center"/>
            </w:pPr>
            <w:r>
              <w:rPr>
                <w:b/>
              </w:rPr>
              <w:t>28.00</w:t>
            </w:r>
            <w:r w:rsidRPr="00E8468F">
              <w:rPr>
                <w:b/>
              </w:rPr>
              <w:t>0.-</w:t>
            </w:r>
            <w:r w:rsidRPr="00E8468F">
              <w:t>Ft/év/</w:t>
            </w:r>
            <w:proofErr w:type="spellStart"/>
            <w:r w:rsidRPr="00E8468F">
              <w:t>tgk</w:t>
            </w:r>
            <w:proofErr w:type="spellEnd"/>
          </w:p>
        </w:tc>
      </w:tr>
      <w:tr w:rsidR="000D2B80" w:rsidRPr="00E8468F" w:rsidTr="006115CF">
        <w:trPr>
          <w:trHeight w:val="1004"/>
        </w:trPr>
        <w:tc>
          <w:tcPr>
            <w:tcW w:w="426" w:type="dxa"/>
          </w:tcPr>
          <w:p w:rsidR="000D2B80" w:rsidRPr="00E8468F" w:rsidRDefault="000D2B80" w:rsidP="006115CF"/>
          <w:p w:rsidR="000D2B80" w:rsidRPr="00E8468F" w:rsidRDefault="000D2B80" w:rsidP="006115CF">
            <w:r w:rsidRPr="00E8468F">
              <w:t>4.</w:t>
            </w:r>
          </w:p>
        </w:tc>
        <w:tc>
          <w:tcPr>
            <w:tcW w:w="5453" w:type="dxa"/>
            <w:vAlign w:val="center"/>
          </w:tcPr>
          <w:p w:rsidR="000D2B80" w:rsidRPr="00E8468F" w:rsidRDefault="000D2B80" w:rsidP="006115CF">
            <w:r w:rsidRPr="00E8468F">
              <w:t>Építési munkával kapcsolatos építőanyagok és törmelékek (lakásépítés, lakóépület javítása esetén)</w:t>
            </w:r>
          </w:p>
        </w:tc>
        <w:tc>
          <w:tcPr>
            <w:tcW w:w="3119" w:type="dxa"/>
            <w:vAlign w:val="center"/>
          </w:tcPr>
          <w:p w:rsidR="000D2B80" w:rsidRPr="008B111F" w:rsidRDefault="000D2B80" w:rsidP="006115CF">
            <w:pPr>
              <w:jc w:val="center"/>
              <w:rPr>
                <w:i/>
              </w:rPr>
            </w:pPr>
            <w:r>
              <w:rPr>
                <w:b/>
              </w:rPr>
              <w:t>70</w:t>
            </w:r>
            <w:r w:rsidRPr="008B111F">
              <w:rPr>
                <w:b/>
              </w:rPr>
              <w:t>.-Ft</w:t>
            </w:r>
            <w:r w:rsidRPr="008B111F">
              <w:t>/m</w:t>
            </w:r>
            <w:r w:rsidRPr="008B111F">
              <w:rPr>
                <w:vertAlign w:val="superscript"/>
              </w:rPr>
              <w:t>2</w:t>
            </w:r>
            <w:r w:rsidRPr="008B111F">
              <w:t>/nap</w:t>
            </w:r>
          </w:p>
        </w:tc>
      </w:tr>
      <w:tr w:rsidR="000D2B80" w:rsidRPr="00E8468F" w:rsidTr="006115CF">
        <w:trPr>
          <w:trHeight w:val="700"/>
        </w:trPr>
        <w:tc>
          <w:tcPr>
            <w:tcW w:w="426" w:type="dxa"/>
            <w:vAlign w:val="center"/>
          </w:tcPr>
          <w:p w:rsidR="000D2B80" w:rsidRPr="00E8468F" w:rsidRDefault="000D2B80" w:rsidP="006115CF">
            <w:r w:rsidRPr="00E8468F">
              <w:t>5.</w:t>
            </w:r>
          </w:p>
        </w:tc>
        <w:tc>
          <w:tcPr>
            <w:tcW w:w="5453" w:type="dxa"/>
            <w:vAlign w:val="center"/>
          </w:tcPr>
          <w:p w:rsidR="000D2B80" w:rsidRPr="00E8468F" w:rsidRDefault="000D2B80" w:rsidP="006115CF"/>
        </w:tc>
        <w:tc>
          <w:tcPr>
            <w:tcW w:w="3119" w:type="dxa"/>
            <w:vAlign w:val="center"/>
          </w:tcPr>
          <w:p w:rsidR="000D2B80" w:rsidRPr="00E8468F" w:rsidRDefault="000D2B80" w:rsidP="006115CF">
            <w:pPr>
              <w:jc w:val="center"/>
            </w:pPr>
          </w:p>
        </w:tc>
      </w:tr>
      <w:tr w:rsidR="000D2B80" w:rsidRPr="00E8468F" w:rsidTr="006115CF">
        <w:trPr>
          <w:trHeight w:val="691"/>
        </w:trPr>
        <w:tc>
          <w:tcPr>
            <w:tcW w:w="426" w:type="dxa"/>
          </w:tcPr>
          <w:p w:rsidR="000D2B80" w:rsidRPr="00E8468F" w:rsidRDefault="000D2B80" w:rsidP="006115CF">
            <w:r w:rsidRPr="00E8468F">
              <w:t>6.</w:t>
            </w:r>
          </w:p>
        </w:tc>
        <w:tc>
          <w:tcPr>
            <w:tcW w:w="5453" w:type="dxa"/>
            <w:vAlign w:val="center"/>
          </w:tcPr>
          <w:p w:rsidR="000D2B80" w:rsidRPr="00E8468F" w:rsidRDefault="000D2B80" w:rsidP="006115CF">
            <w:r w:rsidRPr="00E8468F">
              <w:t>Üzemképtelen, hatósági jelzés nélküli gépjármű közterületen történő tárolására</w:t>
            </w:r>
          </w:p>
        </w:tc>
        <w:tc>
          <w:tcPr>
            <w:tcW w:w="3119" w:type="dxa"/>
            <w:vAlign w:val="center"/>
          </w:tcPr>
          <w:p w:rsidR="000D2B80" w:rsidRDefault="000D2B80" w:rsidP="006115CF">
            <w:pPr>
              <w:jc w:val="center"/>
            </w:pPr>
          </w:p>
          <w:p w:rsidR="000D2B80" w:rsidRPr="00E8468F" w:rsidRDefault="000D2B80" w:rsidP="006115CF">
            <w:pPr>
              <w:jc w:val="center"/>
            </w:pPr>
            <w:r>
              <w:rPr>
                <w:b/>
              </w:rPr>
              <w:t>70</w:t>
            </w:r>
            <w:r w:rsidRPr="008B111F">
              <w:rPr>
                <w:b/>
              </w:rPr>
              <w:t>.-Ft</w:t>
            </w:r>
            <w:r w:rsidRPr="008B111F">
              <w:t>/m</w:t>
            </w:r>
            <w:r w:rsidRPr="008B111F">
              <w:rPr>
                <w:vertAlign w:val="superscript"/>
              </w:rPr>
              <w:t>2</w:t>
            </w:r>
            <w:r w:rsidRPr="008B111F">
              <w:t>/nap</w:t>
            </w:r>
          </w:p>
        </w:tc>
      </w:tr>
      <w:tr w:rsidR="000D2B80" w:rsidRPr="00E8468F" w:rsidTr="006115CF">
        <w:trPr>
          <w:trHeight w:val="1126"/>
        </w:trPr>
        <w:tc>
          <w:tcPr>
            <w:tcW w:w="426" w:type="dxa"/>
            <w:vAlign w:val="center"/>
          </w:tcPr>
          <w:p w:rsidR="000D2B80" w:rsidRPr="00E8468F" w:rsidRDefault="000D2B80" w:rsidP="006115CF">
            <w:r w:rsidRPr="00E8468F">
              <w:t>7.</w:t>
            </w:r>
          </w:p>
        </w:tc>
        <w:tc>
          <w:tcPr>
            <w:tcW w:w="5453" w:type="dxa"/>
            <w:vAlign w:val="center"/>
          </w:tcPr>
          <w:p w:rsidR="000D2B80" w:rsidRPr="00E8468F" w:rsidRDefault="000D2B80" w:rsidP="006115CF">
            <w:r w:rsidRPr="00E8468F">
              <w:t>Gázközműre történő rácsatlakozás céljából történő közterület-igénybevétel egyszeri díja (ingatlanonként)</w:t>
            </w:r>
          </w:p>
        </w:tc>
        <w:tc>
          <w:tcPr>
            <w:tcW w:w="3119" w:type="dxa"/>
            <w:vAlign w:val="center"/>
          </w:tcPr>
          <w:p w:rsidR="000D2B80" w:rsidRPr="008B111F" w:rsidRDefault="000D2B80" w:rsidP="006115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8B111F">
              <w:rPr>
                <w:b/>
              </w:rPr>
              <w:t>5</w:t>
            </w:r>
            <w:r>
              <w:rPr>
                <w:b/>
              </w:rPr>
              <w:t>.000</w:t>
            </w:r>
            <w:r w:rsidRPr="008B111F">
              <w:rPr>
                <w:b/>
              </w:rPr>
              <w:t>.-Ft</w:t>
            </w:r>
          </w:p>
        </w:tc>
      </w:tr>
    </w:tbl>
    <w:p w:rsidR="000D2B80" w:rsidRDefault="000D2B80" w:rsidP="000D2B80"/>
    <w:p w:rsidR="000D2B80" w:rsidRPr="008F0638" w:rsidRDefault="000D2B80" w:rsidP="000D2B80">
      <w:pPr>
        <w:pStyle w:val="Szvegtrzs"/>
        <w:tabs>
          <w:tab w:val="clear" w:pos="426"/>
          <w:tab w:val="clear" w:pos="2835"/>
        </w:tabs>
        <w:ind w:firstLine="7"/>
        <w:jc w:val="both"/>
        <w:rPr>
          <w:b w:val="0"/>
          <w:sz w:val="24"/>
          <w:szCs w:val="24"/>
        </w:rPr>
      </w:pPr>
    </w:p>
    <w:p w:rsidR="00C66F7E" w:rsidRPr="00362884" w:rsidRDefault="00C66F7E" w:rsidP="00362884"/>
    <w:sectPr w:rsidR="00C66F7E" w:rsidRPr="00362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667"/>
        </w:tabs>
        <w:ind w:left="667" w:hanging="283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51"/>
        </w:tabs>
        <w:ind w:left="1051" w:hanging="283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35"/>
        </w:tabs>
        <w:ind w:left="1435" w:hanging="283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19"/>
        </w:tabs>
        <w:ind w:left="1819" w:hanging="283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203"/>
        </w:tabs>
        <w:ind w:left="2203" w:hanging="283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87"/>
        </w:tabs>
        <w:ind w:left="2587" w:hanging="283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971"/>
        </w:tabs>
        <w:ind w:left="2971" w:hanging="283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355"/>
        </w:tabs>
        <w:ind w:left="3355" w:hanging="283"/>
      </w:pPr>
      <w:rPr>
        <w:rFonts w:ascii="StarSymbol" w:hAnsi="StarSymbol"/>
      </w:rPr>
    </w:lvl>
  </w:abstractNum>
  <w:abstractNum w:abstractNumId="1">
    <w:nsid w:val="1DC67A16"/>
    <w:multiLevelType w:val="multilevel"/>
    <w:tmpl w:val="F3C6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B7AAB"/>
    <w:multiLevelType w:val="hybridMultilevel"/>
    <w:tmpl w:val="6B5AF0D6"/>
    <w:lvl w:ilvl="0" w:tplc="FD5AF236">
      <w:start w:val="1"/>
      <w:numFmt w:val="lowerLetter"/>
      <w:lvlText w:val="%1.)"/>
      <w:lvlJc w:val="left"/>
      <w:pPr>
        <w:tabs>
          <w:tab w:val="num" w:pos="1011"/>
        </w:tabs>
        <w:ind w:left="1011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3">
    <w:nsid w:val="7555139D"/>
    <w:multiLevelType w:val="multilevel"/>
    <w:tmpl w:val="68F4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4A5D4D"/>
    <w:rsid w:val="0002067C"/>
    <w:rsid w:val="000D2B80"/>
    <w:rsid w:val="001506B1"/>
    <w:rsid w:val="0016182E"/>
    <w:rsid w:val="001A0F50"/>
    <w:rsid w:val="00341074"/>
    <w:rsid w:val="00362884"/>
    <w:rsid w:val="003C1B6E"/>
    <w:rsid w:val="004A5D4D"/>
    <w:rsid w:val="006C1B33"/>
    <w:rsid w:val="008B2B01"/>
    <w:rsid w:val="008E15E5"/>
    <w:rsid w:val="008E30B6"/>
    <w:rsid w:val="009312F0"/>
    <w:rsid w:val="00931D50"/>
    <w:rsid w:val="00BC57A0"/>
    <w:rsid w:val="00C66F7E"/>
    <w:rsid w:val="00C759D1"/>
    <w:rsid w:val="00DF5CC0"/>
    <w:rsid w:val="00F3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HG Mincho Light J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5D4D"/>
    <w:pPr>
      <w:widowControl w:val="0"/>
      <w:suppressAutoHyphens/>
    </w:pPr>
    <w:rPr>
      <w:rFonts w:eastAsia="Lucida Sans Unicode"/>
      <w:sz w:val="24"/>
    </w:rPr>
  </w:style>
  <w:style w:type="paragraph" w:styleId="Cmsor1">
    <w:name w:val="heading 1"/>
    <w:basedOn w:val="Norml"/>
    <w:next w:val="Norml"/>
    <w:link w:val="Cmsor1Char"/>
    <w:qFormat/>
    <w:rsid w:val="0016182E"/>
    <w:pPr>
      <w:keepNext/>
      <w:spacing w:before="240" w:after="60"/>
      <w:outlineLvl w:val="0"/>
    </w:pPr>
    <w:rPr>
      <w:b/>
      <w:bCs/>
      <w:color w:val="000000"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1618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qFormat/>
    <w:rsid w:val="0016182E"/>
    <w:pPr>
      <w:keepNext/>
      <w:spacing w:before="240" w:after="60"/>
      <w:outlineLvl w:val="2"/>
    </w:pPr>
    <w:rPr>
      <w:b/>
      <w:bCs/>
      <w:color w:val="000000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16182E"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1618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Cmsor6">
    <w:name w:val="heading 6"/>
    <w:basedOn w:val="Norml"/>
    <w:link w:val="Cmsor6Char"/>
    <w:uiPriority w:val="9"/>
    <w:qFormat/>
    <w:rsid w:val="0016182E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182E"/>
    <w:rPr>
      <w:rFonts w:ascii="Arial" w:hAnsi="Arial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16182E"/>
    <w:rPr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16182E"/>
    <w:rPr>
      <w:rFonts w:ascii="Arial" w:hAnsi="Arial"/>
      <w:b/>
      <w:bCs/>
      <w:color w:val="00000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16182E"/>
    <w:rPr>
      <w:b/>
      <w:bCs/>
      <w:color w:val="000000"/>
      <w:sz w:val="28"/>
      <w:szCs w:val="28"/>
    </w:rPr>
  </w:style>
  <w:style w:type="paragraph" w:styleId="Cm">
    <w:name w:val="Title"/>
    <w:basedOn w:val="Norml"/>
    <w:next w:val="Norml"/>
    <w:link w:val="CmChar"/>
    <w:qFormat/>
    <w:rsid w:val="0016182E"/>
    <w:pPr>
      <w:jc w:val="center"/>
    </w:pPr>
    <w:rPr>
      <w:b/>
      <w:sz w:val="28"/>
      <w:szCs w:val="24"/>
      <w:u w:val="single"/>
    </w:rPr>
  </w:style>
  <w:style w:type="character" w:customStyle="1" w:styleId="CmChar">
    <w:name w:val="Cím Char"/>
    <w:basedOn w:val="Bekezdsalapbettpusa"/>
    <w:link w:val="Cm"/>
    <w:rsid w:val="0016182E"/>
    <w:rPr>
      <w:rFonts w:eastAsia="Lucida Sans Unicode"/>
      <w:b/>
      <w:sz w:val="28"/>
      <w:szCs w:val="24"/>
      <w:u w:val="single"/>
    </w:rPr>
  </w:style>
  <w:style w:type="paragraph" w:styleId="Alcm">
    <w:name w:val="Subtitle"/>
    <w:basedOn w:val="Norml"/>
    <w:link w:val="AlcmChar"/>
    <w:qFormat/>
    <w:rsid w:val="0016182E"/>
    <w:pPr>
      <w:spacing w:after="60"/>
      <w:jc w:val="center"/>
      <w:outlineLvl w:val="1"/>
    </w:pPr>
    <w:rPr>
      <w:rFonts w:cstheme="majorBidi"/>
      <w:color w:val="000000"/>
      <w:szCs w:val="24"/>
    </w:rPr>
  </w:style>
  <w:style w:type="character" w:customStyle="1" w:styleId="AlcmChar">
    <w:name w:val="Alcím Char"/>
    <w:basedOn w:val="Bekezdsalapbettpusa"/>
    <w:link w:val="Alcm"/>
    <w:rsid w:val="0016182E"/>
    <w:rPr>
      <w:rFonts w:ascii="Arial" w:hAnsi="Arial" w:cstheme="majorBidi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16182E"/>
    <w:rPr>
      <w:b/>
      <w:bCs/>
    </w:rPr>
  </w:style>
  <w:style w:type="character" w:styleId="Kiemels">
    <w:name w:val="Emphasis"/>
    <w:basedOn w:val="Bekezdsalapbettpusa"/>
    <w:uiPriority w:val="20"/>
    <w:qFormat/>
    <w:rsid w:val="0016182E"/>
    <w:rPr>
      <w:i/>
      <w:iCs/>
    </w:rPr>
  </w:style>
  <w:style w:type="character" w:customStyle="1" w:styleId="Cmsor5Char">
    <w:name w:val="Címsor 5 Char"/>
    <w:basedOn w:val="Bekezdsalapbettpusa"/>
    <w:link w:val="Cmsor5"/>
    <w:semiHidden/>
    <w:rsid w:val="001618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16182E"/>
    <w:rPr>
      <w:rFonts w:eastAsia="Times New Roman"/>
      <w:b/>
      <w:bCs/>
      <w:sz w:val="15"/>
      <w:szCs w:val="15"/>
    </w:rPr>
  </w:style>
  <w:style w:type="paragraph" w:customStyle="1" w:styleId="Char">
    <w:name w:val="Char"/>
    <w:basedOn w:val="Norml"/>
    <w:rsid w:val="004A5D4D"/>
    <w:pPr>
      <w:widowControl/>
      <w:suppressAutoHyphens w:val="0"/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paragraph" w:customStyle="1" w:styleId="lyrics-author-username">
    <w:name w:val="lyrics-author-username"/>
    <w:basedOn w:val="Norml"/>
    <w:rsid w:val="00C759D1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NormlWeb">
    <w:name w:val="Normal (Web)"/>
    <w:basedOn w:val="Norml"/>
    <w:uiPriority w:val="99"/>
    <w:semiHidden/>
    <w:unhideWhenUsed/>
    <w:rsid w:val="00C759D1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759D1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C759D1"/>
  </w:style>
  <w:style w:type="paragraph" w:styleId="Szvegtrzs">
    <w:name w:val="Body Text"/>
    <w:basedOn w:val="Norml"/>
    <w:link w:val="SzvegtrzsChar"/>
    <w:rsid w:val="000D2B80"/>
    <w:pPr>
      <w:widowControl/>
      <w:tabs>
        <w:tab w:val="left" w:pos="426"/>
        <w:tab w:val="left" w:pos="2835"/>
      </w:tabs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sz w:val="28"/>
    </w:rPr>
  </w:style>
  <w:style w:type="character" w:customStyle="1" w:styleId="SzvegtrzsChar">
    <w:name w:val="Szövegtörzs Char"/>
    <w:basedOn w:val="Bekezdsalapbettpusa"/>
    <w:link w:val="Szvegtrzs"/>
    <w:rsid w:val="000D2B80"/>
    <w:rPr>
      <w:rFonts w:eastAsia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621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3131">
              <w:marLeft w:val="142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0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095703">
                                  <w:marLeft w:val="0"/>
                                  <w:marRight w:val="0"/>
                                  <w:marTop w:val="0"/>
                                  <w:marBottom w:val="1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149504">
          <w:marLeft w:val="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Titkarsag1</dc:creator>
  <cp:lastModifiedBy>Titkarsag1</cp:lastModifiedBy>
  <cp:revision>2</cp:revision>
  <dcterms:created xsi:type="dcterms:W3CDTF">2017-12-13T11:52:00Z</dcterms:created>
  <dcterms:modified xsi:type="dcterms:W3CDTF">2017-12-13T11:52:00Z</dcterms:modified>
</cp:coreProperties>
</file>