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2B" w:rsidRPr="00A04CD6" w:rsidRDefault="00F7392B" w:rsidP="00F7392B">
      <w:pPr>
        <w:jc w:val="both"/>
        <w:rPr>
          <w:sz w:val="24"/>
          <w:szCs w:val="24"/>
        </w:rPr>
      </w:pPr>
    </w:p>
    <w:p w:rsidR="00F7392B" w:rsidRPr="00F7392B" w:rsidRDefault="00F7392B" w:rsidP="00F7392B">
      <w:pPr>
        <w:jc w:val="right"/>
        <w:rPr>
          <w:rFonts w:ascii="Garamond" w:hAnsi="Garamond"/>
          <w:sz w:val="24"/>
          <w:szCs w:val="24"/>
        </w:rPr>
      </w:pPr>
      <w:bookmarkStart w:id="0" w:name="_GoBack"/>
      <w:r w:rsidRPr="00F7392B">
        <w:rPr>
          <w:rFonts w:ascii="Garamond" w:hAnsi="Garamond"/>
          <w:b/>
          <w:sz w:val="24"/>
          <w:szCs w:val="24"/>
        </w:rPr>
        <w:t>2. számú melléklet</w:t>
      </w:r>
    </w:p>
    <w:p w:rsidR="00F7392B" w:rsidRPr="00F7392B" w:rsidRDefault="00F7392B" w:rsidP="00F7392B">
      <w:pPr>
        <w:jc w:val="center"/>
        <w:rPr>
          <w:rFonts w:ascii="Garamond" w:hAnsi="Garamond"/>
          <w:b/>
          <w:sz w:val="24"/>
          <w:szCs w:val="24"/>
        </w:rPr>
      </w:pPr>
    </w:p>
    <w:p w:rsidR="00F7392B" w:rsidRPr="00F7392B" w:rsidRDefault="00F7392B" w:rsidP="00F7392B">
      <w:pPr>
        <w:jc w:val="center"/>
        <w:rPr>
          <w:rFonts w:ascii="Garamond" w:hAnsi="Garamond"/>
          <w:b/>
          <w:sz w:val="24"/>
          <w:szCs w:val="24"/>
        </w:rPr>
      </w:pPr>
      <w:r w:rsidRPr="00F7392B">
        <w:rPr>
          <w:rFonts w:ascii="Garamond" w:hAnsi="Garamond"/>
          <w:b/>
          <w:sz w:val="24"/>
          <w:szCs w:val="24"/>
        </w:rPr>
        <w:t>Az előterjesztések tartalmi</w:t>
      </w:r>
    </w:p>
    <w:p w:rsidR="00F7392B" w:rsidRPr="00F7392B" w:rsidRDefault="00F7392B" w:rsidP="00F7392B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7392B">
        <w:rPr>
          <w:rFonts w:ascii="Garamond" w:hAnsi="Garamond"/>
          <w:b/>
          <w:sz w:val="24"/>
          <w:szCs w:val="24"/>
        </w:rPr>
        <w:t>és</w:t>
      </w:r>
      <w:proofErr w:type="gramEnd"/>
      <w:r w:rsidRPr="00F7392B">
        <w:rPr>
          <w:rFonts w:ascii="Garamond" w:hAnsi="Garamond"/>
          <w:b/>
          <w:sz w:val="24"/>
          <w:szCs w:val="24"/>
        </w:rPr>
        <w:t xml:space="preserve"> formai követelményei, előkészítésük rendje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1. Tartalmi és formai szempontok: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Az előterjesztéseket írásban kell a képviselőtestület elé terjeszteni. 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előterjesztés két fő részből áll:</w:t>
      </w:r>
      <w:r w:rsidRPr="00F7392B">
        <w:rPr>
          <w:rFonts w:ascii="Garamond" w:hAnsi="Garamond"/>
          <w:sz w:val="24"/>
          <w:szCs w:val="24"/>
        </w:rPr>
        <w:br/>
        <w:t>a) bevezető és tárgyaló rész</w:t>
      </w:r>
      <w:r w:rsidRPr="00F7392B">
        <w:rPr>
          <w:rFonts w:ascii="Garamond" w:hAnsi="Garamond"/>
          <w:sz w:val="24"/>
          <w:szCs w:val="24"/>
        </w:rPr>
        <w:br/>
        <w:t>b) határozati javaslat</w:t>
      </w:r>
    </w:p>
    <w:p w:rsidR="00F7392B" w:rsidRPr="00F7392B" w:rsidRDefault="00F7392B" w:rsidP="00F7392B">
      <w:pPr>
        <w:ind w:left="284" w:hanging="284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proofErr w:type="gramStart"/>
      <w:r w:rsidRPr="00F7392B">
        <w:rPr>
          <w:rFonts w:ascii="Garamond" w:hAnsi="Garamond"/>
          <w:sz w:val="24"/>
          <w:szCs w:val="24"/>
          <w:u w:val="single"/>
        </w:rPr>
        <w:t>a</w:t>
      </w:r>
      <w:proofErr w:type="gramEnd"/>
      <w:r w:rsidRPr="00F7392B">
        <w:rPr>
          <w:rFonts w:ascii="Garamond" w:hAnsi="Garamond"/>
          <w:sz w:val="24"/>
          <w:szCs w:val="24"/>
          <w:u w:val="single"/>
        </w:rPr>
        <w:t xml:space="preserve">) </w:t>
      </w:r>
      <w:proofErr w:type="spellStart"/>
      <w:r w:rsidRPr="00F7392B">
        <w:rPr>
          <w:rFonts w:ascii="Garamond" w:hAnsi="Garamond"/>
          <w:sz w:val="24"/>
          <w:szCs w:val="24"/>
          <w:u w:val="single"/>
        </w:rPr>
        <w:t>A</w:t>
      </w:r>
      <w:proofErr w:type="spellEnd"/>
      <w:r w:rsidRPr="00F7392B">
        <w:rPr>
          <w:rFonts w:ascii="Garamond" w:hAnsi="Garamond"/>
          <w:sz w:val="24"/>
          <w:szCs w:val="24"/>
          <w:u w:val="single"/>
        </w:rPr>
        <w:t xml:space="preserve"> bevezető és tárgyaló rész tartalmazza:</w:t>
      </w:r>
      <w:r w:rsidRPr="00F7392B">
        <w:rPr>
          <w:rFonts w:ascii="Garamond" w:hAnsi="Garamond"/>
          <w:sz w:val="24"/>
          <w:szCs w:val="24"/>
          <w:u w:val="single"/>
        </w:rPr>
        <w:br/>
      </w:r>
      <w:r w:rsidRPr="00F7392B">
        <w:rPr>
          <w:rFonts w:ascii="Garamond" w:hAnsi="Garamond"/>
          <w:sz w:val="24"/>
          <w:szCs w:val="24"/>
        </w:rPr>
        <w:t>- a téma alapos, tárgyilagos és tényszerű bemutatását,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vonatkozó jogszabályok pontos megjel</w:t>
      </w:r>
      <w:r w:rsidRPr="00F7392B">
        <w:rPr>
          <w:rFonts w:ascii="Garamond" w:hAnsi="Garamond"/>
          <w:sz w:val="24"/>
          <w:szCs w:val="24"/>
        </w:rPr>
        <w:t>ö</w:t>
      </w:r>
      <w:r w:rsidRPr="00F7392B">
        <w:rPr>
          <w:rFonts w:ascii="Garamond" w:hAnsi="Garamond"/>
          <w:sz w:val="24"/>
          <w:szCs w:val="24"/>
        </w:rPr>
        <w:t>lését,</w:t>
      </w:r>
      <w:r w:rsidRPr="00F7392B">
        <w:rPr>
          <w:rFonts w:ascii="Garamond" w:hAnsi="Garamond"/>
          <w:sz w:val="24"/>
          <w:szCs w:val="24"/>
        </w:rPr>
        <w:br/>
        <w:t xml:space="preserve">- a tárgyalandó témában hozott korábbi testületi döntések </w:t>
      </w:r>
      <w:proofErr w:type="gramStart"/>
      <w:r w:rsidRPr="00F7392B">
        <w:rPr>
          <w:rFonts w:ascii="Garamond" w:hAnsi="Garamond"/>
          <w:sz w:val="24"/>
          <w:szCs w:val="24"/>
        </w:rPr>
        <w:t>végrehajtásának  eredményét</w:t>
      </w:r>
      <w:proofErr w:type="gramEnd"/>
      <w:r w:rsidRPr="00F7392B">
        <w:rPr>
          <w:rFonts w:ascii="Garamond" w:hAnsi="Garamond"/>
          <w:sz w:val="24"/>
          <w:szCs w:val="24"/>
        </w:rPr>
        <w:t>,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- amennyiben az anyagot valamelyik képviselőtestületi bizottságnak véleményeznie kell, </w:t>
      </w:r>
      <w:proofErr w:type="gramStart"/>
      <w:r w:rsidRPr="00F7392B">
        <w:rPr>
          <w:rFonts w:ascii="Garamond" w:hAnsi="Garamond"/>
          <w:sz w:val="24"/>
          <w:szCs w:val="24"/>
        </w:rPr>
        <w:t>a  bizot</w:t>
      </w:r>
      <w:r w:rsidRPr="00F7392B">
        <w:rPr>
          <w:rFonts w:ascii="Garamond" w:hAnsi="Garamond"/>
          <w:sz w:val="24"/>
          <w:szCs w:val="24"/>
        </w:rPr>
        <w:t>t</w:t>
      </w:r>
      <w:r w:rsidRPr="00F7392B">
        <w:rPr>
          <w:rFonts w:ascii="Garamond" w:hAnsi="Garamond"/>
          <w:sz w:val="24"/>
          <w:szCs w:val="24"/>
        </w:rPr>
        <w:t>ság</w:t>
      </w:r>
      <w:proofErr w:type="gramEnd"/>
      <w:r w:rsidRPr="00F7392B">
        <w:rPr>
          <w:rFonts w:ascii="Garamond" w:hAnsi="Garamond"/>
          <w:sz w:val="24"/>
          <w:szCs w:val="24"/>
        </w:rPr>
        <w:t xml:space="preserve"> véleményét írásban csatolni kell</w:t>
      </w:r>
      <w:r w:rsidRPr="00F7392B">
        <w:rPr>
          <w:rFonts w:ascii="Garamond" w:hAnsi="Garamond"/>
          <w:sz w:val="24"/>
          <w:szCs w:val="24"/>
        </w:rPr>
        <w:br/>
        <w:t>- az érdek összeütközéseket kifejező, eltérő véleményeket,</w:t>
      </w:r>
      <w:r w:rsidRPr="00F7392B">
        <w:rPr>
          <w:rFonts w:ascii="Garamond" w:hAnsi="Garamond"/>
          <w:sz w:val="24"/>
          <w:szCs w:val="24"/>
        </w:rPr>
        <w:br/>
        <w:t xml:space="preserve">- döntési alternatívákat, az egyes alternatívák mellett és ellen szóló érveket, 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az egyes döntési lehetőségek várható hatásait, következményeit,</w:t>
      </w:r>
      <w:r w:rsidRPr="00F7392B">
        <w:rPr>
          <w:rFonts w:ascii="Garamond" w:hAnsi="Garamond"/>
          <w:sz w:val="24"/>
          <w:szCs w:val="24"/>
        </w:rPr>
        <w:br/>
        <w:t>- az előterjesztéssel elérni kívánt célt, a döntés szükségességének indokát.</w:t>
      </w:r>
      <w:r w:rsidRPr="00F7392B">
        <w:rPr>
          <w:rFonts w:ascii="Garamond" w:hAnsi="Garamond"/>
          <w:sz w:val="24"/>
          <w:szCs w:val="24"/>
        </w:rPr>
        <w:br/>
      </w:r>
      <w:r w:rsidRPr="00F7392B">
        <w:rPr>
          <w:rFonts w:ascii="Garamond" w:hAnsi="Garamond"/>
          <w:sz w:val="24"/>
          <w:szCs w:val="24"/>
        </w:rPr>
        <w:br/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b) </w:t>
      </w:r>
      <w:r w:rsidRPr="00F7392B">
        <w:rPr>
          <w:rFonts w:ascii="Garamond" w:hAnsi="Garamond"/>
          <w:sz w:val="24"/>
          <w:szCs w:val="24"/>
          <w:u w:val="single"/>
        </w:rPr>
        <w:t>Határozati javaslat: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határozati javaslatnak pontosan és egyértelműen meg kell fogalmaznia a javasolt döntést, és a</w:t>
      </w:r>
      <w:r w:rsidRPr="00F7392B">
        <w:rPr>
          <w:rFonts w:ascii="Garamond" w:hAnsi="Garamond"/>
          <w:sz w:val="24"/>
          <w:szCs w:val="24"/>
        </w:rPr>
        <w:t>n</w:t>
      </w:r>
      <w:r w:rsidRPr="00F7392B">
        <w:rPr>
          <w:rFonts w:ascii="Garamond" w:hAnsi="Garamond"/>
          <w:sz w:val="24"/>
          <w:szCs w:val="24"/>
        </w:rPr>
        <w:t>nak alapjául szolgáló jogszabályt.</w:t>
      </w:r>
    </w:p>
    <w:p w:rsidR="00F7392B" w:rsidRPr="00F7392B" w:rsidRDefault="00F7392B" w:rsidP="00F7392B">
      <w:pPr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Meg kell jelölni a szükséges anyagi eszközöket, azok formáit. Meg kell nevezni a döntés végreha</w:t>
      </w:r>
      <w:r w:rsidRPr="00F7392B">
        <w:rPr>
          <w:rFonts w:ascii="Garamond" w:hAnsi="Garamond"/>
          <w:sz w:val="24"/>
          <w:szCs w:val="24"/>
        </w:rPr>
        <w:t>j</w:t>
      </w:r>
      <w:r w:rsidRPr="00F7392B">
        <w:rPr>
          <w:rFonts w:ascii="Garamond" w:hAnsi="Garamond"/>
          <w:sz w:val="24"/>
          <w:szCs w:val="24"/>
        </w:rPr>
        <w:t>tásáért felelős személyt, a végrehajtás határidejét. Ez utóbbi lehet:</w:t>
      </w:r>
    </w:p>
    <w:p w:rsidR="00F7392B" w:rsidRPr="00F7392B" w:rsidRDefault="00F7392B" w:rsidP="00F7392B">
      <w:pPr>
        <w:ind w:left="708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1. azonnali (3 napon belüli végrehajtást jelent)</w:t>
      </w:r>
    </w:p>
    <w:p w:rsidR="00F7392B" w:rsidRPr="00F7392B" w:rsidRDefault="00F7392B" w:rsidP="00F7392B">
      <w:pPr>
        <w:ind w:left="708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2. folyamatos (1 éven túli végrehajtás)</w:t>
      </w:r>
    </w:p>
    <w:p w:rsidR="00F7392B" w:rsidRPr="00F7392B" w:rsidRDefault="00F7392B" w:rsidP="00F7392B">
      <w:pPr>
        <w:ind w:left="708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3. konkrét időpont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Amennyiben a döntés részfeladatokra bontható, az egyes részfeladatok teljesítésére részhatá</w:t>
      </w:r>
      <w:r w:rsidRPr="00F7392B">
        <w:rPr>
          <w:rFonts w:ascii="Garamond" w:hAnsi="Garamond"/>
          <w:sz w:val="24"/>
          <w:szCs w:val="24"/>
        </w:rPr>
        <w:t>r</w:t>
      </w:r>
      <w:r w:rsidRPr="00F7392B">
        <w:rPr>
          <w:rFonts w:ascii="Garamond" w:hAnsi="Garamond"/>
          <w:sz w:val="24"/>
          <w:szCs w:val="24"/>
        </w:rPr>
        <w:t>idő is megállapítható.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Nem kell határidőt és felelőst megjelölni azon határozati javaslatoknál, amelyek végrehajtási cs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 xml:space="preserve">lekményt nem igényelnek (tudomásulvételt tartalmazó </w:t>
      </w:r>
      <w:proofErr w:type="gramStart"/>
      <w:r w:rsidRPr="00F7392B">
        <w:rPr>
          <w:rFonts w:ascii="Garamond" w:hAnsi="Garamond"/>
          <w:sz w:val="24"/>
          <w:szCs w:val="24"/>
        </w:rPr>
        <w:t>határozat .</w:t>
      </w:r>
      <w:proofErr w:type="gramEnd"/>
      <w:r w:rsidRPr="00F7392B">
        <w:rPr>
          <w:rFonts w:ascii="Garamond" w:hAnsi="Garamond"/>
          <w:sz w:val="24"/>
          <w:szCs w:val="24"/>
        </w:rPr>
        <w:t>..stb.)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határozati javaslat mellőzhető a kizárólag beszámolót, tájékoztatót tartalmazó előterjeszt</w:t>
      </w:r>
      <w:r w:rsidRPr="00F7392B">
        <w:rPr>
          <w:rFonts w:ascii="Garamond" w:hAnsi="Garamond"/>
          <w:sz w:val="24"/>
          <w:szCs w:val="24"/>
        </w:rPr>
        <w:t>é</w:t>
      </w:r>
      <w:r w:rsidRPr="00F7392B">
        <w:rPr>
          <w:rFonts w:ascii="Garamond" w:hAnsi="Garamond"/>
          <w:sz w:val="24"/>
          <w:szCs w:val="24"/>
        </w:rPr>
        <w:t>sek esetében.</w:t>
      </w:r>
    </w:p>
    <w:p w:rsidR="00F7392B" w:rsidRPr="00F7392B" w:rsidRDefault="00F7392B" w:rsidP="00F7392B">
      <w:pPr>
        <w:ind w:left="567"/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ind w:left="284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2. Az előterjesztésnek minden esetben tartalmaznia kell az előterjesztendő nevét és aláírását.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ind w:left="284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3. Kivételes esetben, az előterjesztés szóban, a testületi ülésen is megtehető, az előterjesztés tartalmi követelményeit ebben az esetben is - lehetőség szerint - érvényesíteni kell. Az előterjesztés szóbeliségét minden esetben indokolni kell. Csak írásban lehet benyújtani a következő előte</w:t>
      </w:r>
      <w:r w:rsidRPr="00F7392B">
        <w:rPr>
          <w:rFonts w:ascii="Garamond" w:hAnsi="Garamond"/>
          <w:sz w:val="24"/>
          <w:szCs w:val="24"/>
        </w:rPr>
        <w:t>r</w:t>
      </w:r>
      <w:r w:rsidRPr="00F7392B">
        <w:rPr>
          <w:rFonts w:ascii="Garamond" w:hAnsi="Garamond"/>
          <w:sz w:val="24"/>
          <w:szCs w:val="24"/>
        </w:rPr>
        <w:t>jesztéseket: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rendelet-tervezetek,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- önkormányzati </w:t>
      </w:r>
      <w:proofErr w:type="gramStart"/>
      <w:r w:rsidRPr="00F7392B">
        <w:rPr>
          <w:rFonts w:ascii="Garamond" w:hAnsi="Garamond"/>
          <w:sz w:val="24"/>
          <w:szCs w:val="24"/>
        </w:rPr>
        <w:t>intézmény alapítás</w:t>
      </w:r>
      <w:proofErr w:type="gramEnd"/>
      <w:r w:rsidRPr="00F7392B">
        <w:rPr>
          <w:rFonts w:ascii="Garamond" w:hAnsi="Garamond"/>
          <w:sz w:val="24"/>
          <w:szCs w:val="24"/>
        </w:rPr>
        <w:t>, átszervezés és megszüntetés,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helyi népszavazás kiírása,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alapítványok, társulások létrehozása, csatlakozás, kilépés,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önkormányzati vállalkozási ügyek,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- munkaterv,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lastRenderedPageBreak/>
        <w:t>- hatósági jogkörben hozott döntések</w:t>
      </w:r>
    </w:p>
    <w:p w:rsidR="00F7392B" w:rsidRPr="00F7392B" w:rsidRDefault="00F7392B" w:rsidP="00F7392B">
      <w:pPr>
        <w:ind w:left="992" w:hanging="284"/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  <w:u w:val="single"/>
        </w:rPr>
      </w:pPr>
      <w:r w:rsidRPr="00F7392B">
        <w:rPr>
          <w:rFonts w:ascii="Garamond" w:hAnsi="Garamond"/>
          <w:sz w:val="24"/>
          <w:szCs w:val="24"/>
        </w:rPr>
        <w:t>4. Az előkészítés rendje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előterjesztés összeállításáért, elkészítéséért annak előadója a felelős. Amennyiben a témát valamely önkormányzati bizottságnak, önkormányzati intézménynek vagy szervnek vélem</w:t>
      </w:r>
      <w:r w:rsidRPr="00F7392B">
        <w:rPr>
          <w:rFonts w:ascii="Garamond" w:hAnsi="Garamond"/>
          <w:sz w:val="24"/>
          <w:szCs w:val="24"/>
        </w:rPr>
        <w:t>é</w:t>
      </w:r>
      <w:r w:rsidRPr="00F7392B">
        <w:rPr>
          <w:rFonts w:ascii="Garamond" w:hAnsi="Garamond"/>
          <w:sz w:val="24"/>
          <w:szCs w:val="24"/>
        </w:rPr>
        <w:t>nyezni kell, előzetesen gondoskodik a vélemények kikéréséről.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bizottság, intézmény vagy szerv véleményét, észrevételeit, illetve azt, hogy nem tett észr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vételt, az előterjesztésben fel kell tüntetni, az észrevételekkel kapcsolatos álláspontját az el</w:t>
      </w:r>
      <w:r w:rsidRPr="00F7392B">
        <w:rPr>
          <w:rFonts w:ascii="Garamond" w:hAnsi="Garamond"/>
          <w:sz w:val="24"/>
          <w:szCs w:val="24"/>
        </w:rPr>
        <w:t>ő</w:t>
      </w:r>
      <w:r w:rsidRPr="00F7392B">
        <w:rPr>
          <w:rFonts w:ascii="Garamond" w:hAnsi="Garamond"/>
          <w:sz w:val="24"/>
          <w:szCs w:val="24"/>
        </w:rPr>
        <w:t>adónak az előterjesztésben ki kell fejteni, az írásos véleményt, észrevételt az előterjesztéshez kell csatolni mellékletként.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előterjesztést postázás előtt a jegyző köteles törvényességi szempontból megvizsgálni. A jeg</w:t>
      </w:r>
      <w:r w:rsidRPr="00F7392B">
        <w:rPr>
          <w:rFonts w:ascii="Garamond" w:hAnsi="Garamond"/>
          <w:sz w:val="24"/>
          <w:szCs w:val="24"/>
        </w:rPr>
        <w:t>y</w:t>
      </w:r>
      <w:r w:rsidRPr="00F7392B">
        <w:rPr>
          <w:rFonts w:ascii="Garamond" w:hAnsi="Garamond"/>
          <w:sz w:val="24"/>
          <w:szCs w:val="24"/>
        </w:rPr>
        <w:t>ző a véleményét az előterjesztésre rávezeti, vagy az előterjesztéshez csatolja.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Rendelettervezetekre vonatkozó eltérő szabályok 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proofErr w:type="gramStart"/>
      <w:r w:rsidRPr="00F7392B">
        <w:rPr>
          <w:rFonts w:ascii="Garamond" w:hAnsi="Garamond"/>
          <w:sz w:val="24"/>
          <w:szCs w:val="24"/>
        </w:rPr>
        <w:t>a</w:t>
      </w:r>
      <w:proofErr w:type="gramEnd"/>
      <w:r w:rsidRPr="00F7392B">
        <w:rPr>
          <w:rFonts w:ascii="Garamond" w:hAnsi="Garamond"/>
          <w:sz w:val="24"/>
          <w:szCs w:val="24"/>
        </w:rPr>
        <w:t>) Előzetes hatásvizsgálat.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A hatásvizsgálat felméri a szabályozás várható következményeit </w:t>
      </w:r>
      <w:proofErr w:type="gramStart"/>
      <w:r w:rsidRPr="00F7392B">
        <w:rPr>
          <w:rFonts w:ascii="Garamond" w:hAnsi="Garamond"/>
          <w:sz w:val="24"/>
          <w:szCs w:val="24"/>
        </w:rPr>
        <w:t>A</w:t>
      </w:r>
      <w:proofErr w:type="gramEnd"/>
      <w:r w:rsidRPr="00F7392B">
        <w:rPr>
          <w:rFonts w:ascii="Garamond" w:hAnsi="Garamond"/>
          <w:sz w:val="24"/>
          <w:szCs w:val="24"/>
        </w:rPr>
        <w:t xml:space="preserve"> hatásvizsgálat során viz</w:t>
      </w:r>
      <w:r w:rsidRPr="00F7392B">
        <w:rPr>
          <w:rFonts w:ascii="Garamond" w:hAnsi="Garamond"/>
          <w:sz w:val="24"/>
          <w:szCs w:val="24"/>
        </w:rPr>
        <w:t>s</w:t>
      </w:r>
      <w:r w:rsidRPr="00F7392B">
        <w:rPr>
          <w:rFonts w:ascii="Garamond" w:hAnsi="Garamond"/>
          <w:sz w:val="24"/>
          <w:szCs w:val="24"/>
        </w:rPr>
        <w:t>gálni kell a tervezett rendelet valamennyi jelentősnek ítélt hatását (társadalmi, gazdasági, köl</w:t>
      </w:r>
      <w:r w:rsidRPr="00F7392B">
        <w:rPr>
          <w:rFonts w:ascii="Garamond" w:hAnsi="Garamond"/>
          <w:sz w:val="24"/>
          <w:szCs w:val="24"/>
        </w:rPr>
        <w:t>t</w:t>
      </w:r>
      <w:r w:rsidRPr="00F7392B">
        <w:rPr>
          <w:rFonts w:ascii="Garamond" w:hAnsi="Garamond"/>
          <w:sz w:val="24"/>
          <w:szCs w:val="24"/>
        </w:rPr>
        <w:t>ségvetési és adminisztratív terheket befolyásoló, környezeti és egészségi következményeit.)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Kiterjed a rendelet megalkotásának szükségességére, a jogalkotás elmaradásának várható következményeire, az alkalmazásához szükséges személyi, szervezeti, tárgyi és pénzügyi feltét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lekre.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b) Indokolás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 xml:space="preserve">A rendelet-tervezet szövegéhez részletes indokolást kell készíteni. 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indokolás: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bemutatja azokat a társadalmi, gazdasági, szakmai okokat és célokat, amelyek a jav</w:t>
      </w:r>
      <w:r w:rsidRPr="00F7392B">
        <w:rPr>
          <w:rFonts w:ascii="Garamond" w:hAnsi="Garamond"/>
          <w:sz w:val="24"/>
          <w:szCs w:val="24"/>
        </w:rPr>
        <w:t>a</w:t>
      </w:r>
      <w:r w:rsidRPr="00F7392B">
        <w:rPr>
          <w:rFonts w:ascii="Garamond" w:hAnsi="Garamond"/>
          <w:sz w:val="24"/>
          <w:szCs w:val="24"/>
        </w:rPr>
        <w:t>solt szabályozást szükségessé teszik,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ismerteti a jogi szabályozás várható hatásait,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tájékoztatást ad a javasolt szabályozás és az európai uniós jogból eredő kötelezettségek összhangjáról.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c) Utólagos hatásvizsgálat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jegyző kiterjedtebb rendelet módosítások vagy új rendeletek esetében egyszerűsített hatá</w:t>
      </w:r>
      <w:r w:rsidRPr="00F7392B">
        <w:rPr>
          <w:rFonts w:ascii="Garamond" w:hAnsi="Garamond"/>
          <w:sz w:val="24"/>
          <w:szCs w:val="24"/>
        </w:rPr>
        <w:t>s</w:t>
      </w:r>
      <w:r w:rsidRPr="00F7392B">
        <w:rPr>
          <w:rFonts w:ascii="Garamond" w:hAnsi="Garamond"/>
          <w:sz w:val="24"/>
          <w:szCs w:val="24"/>
        </w:rPr>
        <w:t>vizsgálati lap segítségével végzi el a rendelet tényleges hatásainak a szabályozás megalkotása idején várt hatásokkal való összevetését. Az összevetés eredményéről a képviselő-testületet a jegyző évente tájékoztatja.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rendeletet szakmai előkészítésének feladatait a jegyző látja el az alábbiak sz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rint: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közreműködők között a munka elosztása,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tervezetek bizottsági véleményeztetéséről és az észrevételek feldolgozásáról való gondoskodás,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elvi célkitűzések érvényesítésének, a vitás kérdések megfelelő szintű eldöntésének biztosítása,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érintett társszervekkel való koordináció,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az adminisztrációs munka megszervezése,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tervezet testület előtti megvitatásban való részvétel.</w:t>
      </w:r>
    </w:p>
    <w:p w:rsidR="00F7392B" w:rsidRPr="00F7392B" w:rsidRDefault="00F7392B" w:rsidP="00F7392B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rendelet tervezet szavazása előtt a tervezet törvényességéről a jegyző nyilatkozik.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tervezet előkészítéséhez a képviselő-testület- szükség esetén- más szakértőket is felkérhet, ill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tőleg előkészítő csoportot hozhat létre.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lastRenderedPageBreak/>
        <w:t>Az állampolgárok szélesebb körét érintő rendeletek tervezetét legalább 30 napra közszemlére kell tenni, erre a lakosság figyelmét – a 4. számú függelékben meghatározott kifüggesztési- h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lyeken felhívni. A közszemlére tett rendelete-tervezettel kapcsolatban az érdekeltek írásban kifogást emelhetnek, javaslatot, észrevételt tehetnek; ezek tárgyában a képviselő-testület dönt.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 tervezet szövegezésének, a hatálybaléptetésének és kihirdetésének meg kell felelnie a jogalkotásról szóló 2010. évi CXXX. törvény rendelkezéseinek, valamint a jogszabályszerkeszté</w:t>
      </w:r>
      <w:r w:rsidRPr="00F7392B">
        <w:rPr>
          <w:rFonts w:ascii="Garamond" w:hAnsi="Garamond"/>
          <w:sz w:val="24"/>
          <w:szCs w:val="24"/>
        </w:rPr>
        <w:t>s</w:t>
      </w:r>
      <w:r w:rsidRPr="00F7392B">
        <w:rPr>
          <w:rFonts w:ascii="Garamond" w:hAnsi="Garamond"/>
          <w:sz w:val="24"/>
          <w:szCs w:val="24"/>
        </w:rPr>
        <w:t xml:space="preserve">ről szóló 61/2009. (XII.14.) IRM rendelet szabályozásának. 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Amennyiben a rendelettervezet egy korábbi helyi rendelet módosítására, hatályon kívül hely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zésére irányul, a rendelettervezethez készített előterjesztéshez fel kell tüntetni a módosításra javasolt szövegrészeket és a javasolt mód</w:t>
      </w:r>
      <w:r w:rsidRPr="00F7392B">
        <w:rPr>
          <w:rFonts w:ascii="Garamond" w:hAnsi="Garamond"/>
          <w:sz w:val="24"/>
          <w:szCs w:val="24"/>
        </w:rPr>
        <w:t>o</w:t>
      </w:r>
      <w:r w:rsidRPr="00F7392B">
        <w:rPr>
          <w:rFonts w:ascii="Garamond" w:hAnsi="Garamond"/>
          <w:sz w:val="24"/>
          <w:szCs w:val="24"/>
        </w:rPr>
        <w:t>sítást úgy, hogy egyértelműen kitűnjön a módosítás, kiegészítés je</w:t>
      </w:r>
      <w:r w:rsidRPr="00F7392B">
        <w:rPr>
          <w:rFonts w:ascii="Garamond" w:hAnsi="Garamond"/>
          <w:sz w:val="24"/>
          <w:szCs w:val="24"/>
        </w:rPr>
        <w:t>l</w:t>
      </w:r>
      <w:r w:rsidRPr="00F7392B">
        <w:rPr>
          <w:rFonts w:ascii="Garamond" w:hAnsi="Garamond"/>
          <w:sz w:val="24"/>
          <w:szCs w:val="24"/>
        </w:rPr>
        <w:t>lege.</w:t>
      </w:r>
    </w:p>
    <w:p w:rsidR="00F7392B" w:rsidRPr="00F7392B" w:rsidRDefault="00F7392B" w:rsidP="00F7392B">
      <w:pPr>
        <w:jc w:val="both"/>
        <w:rPr>
          <w:rFonts w:ascii="Garamond" w:hAnsi="Garamond"/>
          <w:sz w:val="24"/>
          <w:szCs w:val="24"/>
        </w:rPr>
      </w:pPr>
      <w:r w:rsidRPr="00F7392B">
        <w:rPr>
          <w:rFonts w:ascii="Garamond" w:hAnsi="Garamond"/>
          <w:sz w:val="24"/>
          <w:szCs w:val="24"/>
        </w:rPr>
        <w:t>Rendelet átfogó módosítása esetén az előterjesztéshez mellékelni kell a rendelet teljes szöv</w:t>
      </w:r>
      <w:r w:rsidRPr="00F7392B">
        <w:rPr>
          <w:rFonts w:ascii="Garamond" w:hAnsi="Garamond"/>
          <w:sz w:val="24"/>
          <w:szCs w:val="24"/>
        </w:rPr>
        <w:t>e</w:t>
      </w:r>
      <w:r w:rsidRPr="00F7392B">
        <w:rPr>
          <w:rFonts w:ascii="Garamond" w:hAnsi="Garamond"/>
          <w:sz w:val="24"/>
          <w:szCs w:val="24"/>
        </w:rPr>
        <w:t>gét. Az indokolásban a módosítás okát részletesen ki kell fejteni.</w:t>
      </w:r>
    </w:p>
    <w:p w:rsidR="00F7392B" w:rsidRPr="00F7392B" w:rsidRDefault="00F7392B" w:rsidP="00F7392B">
      <w:pPr>
        <w:tabs>
          <w:tab w:val="left" w:pos="851"/>
        </w:tabs>
        <w:ind w:left="709"/>
        <w:jc w:val="both"/>
        <w:rPr>
          <w:rFonts w:ascii="Garamond" w:hAnsi="Garamond"/>
          <w:sz w:val="24"/>
          <w:szCs w:val="24"/>
        </w:rPr>
      </w:pPr>
    </w:p>
    <w:bookmarkEnd w:id="0"/>
    <w:p w:rsidR="00AA1B90" w:rsidRPr="00F7392B" w:rsidRDefault="00AA1B90">
      <w:pPr>
        <w:rPr>
          <w:rFonts w:ascii="Garamond" w:hAnsi="Garamond"/>
        </w:rPr>
      </w:pPr>
    </w:p>
    <w:sectPr w:rsidR="00AA1B90" w:rsidRPr="00F7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31A"/>
    <w:multiLevelType w:val="hybridMultilevel"/>
    <w:tmpl w:val="C5981050"/>
    <w:lvl w:ilvl="0" w:tplc="C8D8B9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2B"/>
    <w:rsid w:val="00AA1B90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2019-05-07T10:21:00Z</dcterms:created>
  <dcterms:modified xsi:type="dcterms:W3CDTF">2019-05-07T10:22:00Z</dcterms:modified>
</cp:coreProperties>
</file>