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CC" w:rsidRPr="00BC4EEE" w:rsidRDefault="00C427CC" w:rsidP="00C427CC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C4EEE">
        <w:rPr>
          <w:rFonts w:ascii="Times New Roman" w:hAnsi="Times New Roman"/>
          <w:b/>
          <w:sz w:val="24"/>
          <w:szCs w:val="24"/>
          <w:u w:val="single"/>
        </w:rPr>
        <w:t>ELŐZETES HATÁSVIZSGÁLAT</w:t>
      </w:r>
    </w:p>
    <w:p w:rsidR="00C427CC" w:rsidRDefault="00C427CC" w:rsidP="00C427CC">
      <w:pPr>
        <w:tabs>
          <w:tab w:val="right" w:pos="5160"/>
          <w:tab w:val="right" w:pos="9072"/>
        </w:tabs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  <w:proofErr w:type="gramStart"/>
      <w:r w:rsidRPr="006E65A4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a</w:t>
      </w:r>
      <w:proofErr w:type="gramEnd"/>
      <w:r w:rsidRPr="006E65A4"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 gyermekek védelméről és a térítési díjakról szóló 5/2015. (II.27.) önkormányzati rendelet módosításáról</w:t>
      </w:r>
      <w:r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 szóló rendelet-tervezethez</w:t>
      </w:r>
    </w:p>
    <w:p w:rsidR="00C427CC" w:rsidRDefault="00C427CC" w:rsidP="00C427CC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</w:p>
    <w:p w:rsidR="00C427CC" w:rsidRPr="00BC4EEE" w:rsidRDefault="00C427CC" w:rsidP="00C427CC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>A rendelet-tervezet előzetes hatásvizsgálatának megállapításai a következők:</w:t>
      </w:r>
    </w:p>
    <w:p w:rsidR="00C427CC" w:rsidRPr="00BC4EEE" w:rsidRDefault="00C427CC" w:rsidP="00C427CC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27CC" w:rsidRPr="00BC4EEE" w:rsidRDefault="00C427CC" w:rsidP="00C427CC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b/>
          <w:sz w:val="24"/>
          <w:szCs w:val="24"/>
        </w:rPr>
        <w:t>Társadalmi, gazdasági, hatások</w:t>
      </w:r>
    </w:p>
    <w:p w:rsidR="00C427CC" w:rsidRDefault="00C427CC" w:rsidP="00C427CC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5A4">
        <w:rPr>
          <w:rFonts w:ascii="Times New Roman" w:eastAsia="Times New Roman" w:hAnsi="Times New Roman" w:cs="Times New Roman"/>
          <w:bCs/>
          <w:sz w:val="24"/>
          <w:szCs w:val="24"/>
        </w:rPr>
        <w:t xml:space="preserve">A rendelet-tervezet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szociális gondozás és étkeztetés térítési díjainak megállapítására irányul. A térítési díj megállapításának alapja a szolgáltatások önköltségének aktualizálása, az elmúlt év során bekövetkezett költségnövekedések és a 2021.évre tervezhető költségvetési támogatások ismeretében és ez alapján az intézményi térítési díj megállapítása. A szociális gondozásban 34, a szociális étkeztetésben 107 fős gondozási/étkezési napi átlag igénybevétellel terveztünk, a költségek és az intézményi térítési díj emelkedése ennyi igénybe vevőre van közvetlen gazdasági, társadalmi hatással. A fenntartó önkormányzati társulás tagönkormányzatai a személyi térítési díjakban adható kedvezményekkel tudják befolyásolni az áremelkedés igénybe vevőkre gyakorolt hatását. Társadalmi és gazdasági hatása a szociális intézményt fenntartó tagönkormányzatokra az intézményben a szociális gondozás és étkeztetés feladatait ellátók, valamint a vásárolt élelmezésre vonatkozóan 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leeleki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és 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magyi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konyhát működtető önkormányzati intézmények költségvetési gazdálkodásában van. </w:t>
      </w:r>
    </w:p>
    <w:p w:rsidR="00C427CC" w:rsidRPr="006E65A4" w:rsidRDefault="00C427CC" w:rsidP="00C427CC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27CC" w:rsidRPr="00BC4EEE" w:rsidRDefault="00C427CC" w:rsidP="00C427CC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b/>
          <w:sz w:val="24"/>
          <w:szCs w:val="24"/>
        </w:rPr>
        <w:t>Adminisztratív terheket befolyásoló hatások</w:t>
      </w:r>
    </w:p>
    <w:p w:rsidR="00C427CC" w:rsidRPr="00BC4EEE" w:rsidRDefault="00C427CC" w:rsidP="00C427CC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A rendelet végrehajtása a szakmai, ügyintézési és adminisztratív feladatok végrehajtásában vállalható többlet terhet jelentenek, az </w:t>
      </w:r>
      <w:r>
        <w:rPr>
          <w:rFonts w:ascii="Times New Roman" w:eastAsia="Times New Roman" w:hAnsi="Times New Roman" w:cs="Times New Roman"/>
          <w:sz w:val="24"/>
          <w:szCs w:val="24"/>
        </w:rPr>
        <w:t>fenntartó tag</w:t>
      </w:r>
      <w:r w:rsidRPr="00BC4EEE">
        <w:rPr>
          <w:rFonts w:ascii="Times New Roman" w:eastAsia="Times New Roman" w:hAnsi="Times New Roman" w:cs="Times New Roman"/>
          <w:sz w:val="24"/>
          <w:szCs w:val="24"/>
        </w:rPr>
        <w:t>önkormányzat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és intézményei</w:t>
      </w:r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 jelenlegi szervezetével ellátható a feladat. </w:t>
      </w:r>
    </w:p>
    <w:p w:rsidR="00C427CC" w:rsidRPr="00BC4EEE" w:rsidRDefault="00C427CC" w:rsidP="00C427CC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27CC" w:rsidRPr="00BC4EEE" w:rsidRDefault="00C427CC" w:rsidP="00C427CC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b/>
          <w:sz w:val="24"/>
          <w:szCs w:val="24"/>
        </w:rPr>
        <w:t>A jogszabály megalkotásának szükségessége, a jogalkotás elmaradásának várható következményei</w:t>
      </w:r>
    </w:p>
    <w:p w:rsidR="00C427CC" w:rsidRPr="00BC4EEE" w:rsidRDefault="00C427CC" w:rsidP="00C427CC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A rendelet megalkotását szükségessé teszik az </w:t>
      </w:r>
      <w:proofErr w:type="spellStart"/>
      <w:r w:rsidRPr="00BC4EEE">
        <w:rPr>
          <w:rFonts w:ascii="Times New Roman" w:eastAsia="Times New Roman" w:hAnsi="Times New Roman" w:cs="Times New Roman"/>
          <w:sz w:val="24"/>
          <w:szCs w:val="24"/>
        </w:rPr>
        <w:t>Mötv</w:t>
      </w:r>
      <w:proofErr w:type="spellEnd"/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. és az </w:t>
      </w:r>
      <w:r>
        <w:rPr>
          <w:rFonts w:ascii="Times New Roman" w:eastAsia="Times New Roman" w:hAnsi="Times New Roman" w:cs="Times New Roman"/>
          <w:sz w:val="24"/>
          <w:szCs w:val="24"/>
        </w:rPr>
        <w:t>Szt</w:t>
      </w:r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., melynek elmaradása egyrészt törvényességi mulasztásnak számítana, másrészt a rendelet nélkül nem volna megalapozott az </w:t>
      </w:r>
      <w:r>
        <w:rPr>
          <w:rFonts w:ascii="Times New Roman" w:eastAsia="Times New Roman" w:hAnsi="Times New Roman" w:cs="Times New Roman"/>
          <w:sz w:val="24"/>
          <w:szCs w:val="24"/>
        </w:rPr>
        <w:t>intézményi térítési díjak megállapítása, és a személyi térítési díjak beszedése</w:t>
      </w:r>
      <w:r w:rsidRPr="00BC4E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27CC" w:rsidRPr="00BC4EEE" w:rsidRDefault="00C427CC" w:rsidP="00C427CC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27CC" w:rsidRPr="00BC4EEE" w:rsidRDefault="00C427CC" w:rsidP="00C427CC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b/>
          <w:sz w:val="24"/>
          <w:szCs w:val="24"/>
        </w:rPr>
        <w:t>A jogszabály alkalmazásához szükséges személyi, szervezeti, tárgyi és pénzügyi feltételek</w:t>
      </w:r>
    </w:p>
    <w:p w:rsidR="00C427CC" w:rsidRPr="00BC4EEE" w:rsidRDefault="00C427CC" w:rsidP="00C427CC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>A rendeletalkalmazásához szükséges személyi, tárgyi, szervezeti és pénzügyi feltételek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fenntartótag</w:t>
      </w:r>
      <w:r w:rsidRPr="00BC4EEE">
        <w:rPr>
          <w:rFonts w:ascii="Times New Roman" w:eastAsia="Times New Roman" w:hAnsi="Times New Roman" w:cs="Times New Roman"/>
          <w:sz w:val="24"/>
          <w:szCs w:val="24"/>
        </w:rPr>
        <w:t>önkormányzat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 w:rsidRPr="00BC4EEE">
        <w:rPr>
          <w:rFonts w:ascii="Times New Roman" w:eastAsia="Times New Roman" w:hAnsi="Times New Roman" w:cs="Times New Roman"/>
          <w:sz w:val="24"/>
          <w:szCs w:val="24"/>
        </w:rPr>
        <w:t>nál</w:t>
      </w:r>
      <w:proofErr w:type="spellEnd"/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 rendelkezésre állnak. </w:t>
      </w: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427CC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C4E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INDOKOLÁS</w:t>
      </w: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427CC" w:rsidRDefault="00C427CC" w:rsidP="00C427CC">
      <w:pPr>
        <w:tabs>
          <w:tab w:val="right" w:pos="5160"/>
          <w:tab w:val="right" w:pos="9072"/>
        </w:tabs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  <w:proofErr w:type="gramStart"/>
      <w:r w:rsidRPr="006E65A4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a</w:t>
      </w:r>
      <w:proofErr w:type="gramEnd"/>
      <w:r w:rsidRPr="006E65A4"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 gyermekek védelméről és a térítési díjakról szóló 5/2015. (II.27.) önkormányzati rendelet módosításáról</w:t>
      </w:r>
      <w:r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 szóló rendelet-tervezethez</w:t>
      </w:r>
    </w:p>
    <w:p w:rsidR="00C427CC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b/>
          <w:bCs/>
          <w:sz w:val="24"/>
          <w:szCs w:val="24"/>
        </w:rPr>
        <w:t>ÁLTALÁNOS INDOKOLÁS</w:t>
      </w: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>A jogalkotásról szóló 2010. évi CXXX. törvény 18. §</w:t>
      </w:r>
      <w:proofErr w:type="spellStart"/>
      <w:r w:rsidRPr="00BC4EEE">
        <w:rPr>
          <w:rFonts w:ascii="Times New Roman" w:eastAsia="Times New Roman" w:hAnsi="Times New Roman" w:cs="Times New Roman"/>
          <w:sz w:val="24"/>
          <w:szCs w:val="24"/>
        </w:rPr>
        <w:t>-ában</w:t>
      </w:r>
      <w:proofErr w:type="spellEnd"/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 foglaltak szerint eljárva </w:t>
      </w:r>
      <w:bookmarkStart w:id="0" w:name="_Hlk64451195"/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a sportcélú létesítmények bérbe adásának helyi </w:t>
      </w:r>
      <w:proofErr w:type="spellStart"/>
      <w:r w:rsidRPr="00BC4EEE">
        <w:rPr>
          <w:rFonts w:ascii="Times New Roman" w:eastAsia="Times New Roman" w:hAnsi="Times New Roman" w:cs="Times New Roman"/>
          <w:sz w:val="24"/>
          <w:szCs w:val="24"/>
        </w:rPr>
        <w:t>szabályairólszóló</w:t>
      </w:r>
      <w:proofErr w:type="spellEnd"/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 önkormányzati rendelet</w:t>
      </w:r>
      <w:bookmarkEnd w:id="0"/>
      <w:r w:rsidRPr="00BC4EEE">
        <w:rPr>
          <w:rFonts w:ascii="Times New Roman" w:eastAsia="Times New Roman" w:hAnsi="Times New Roman" w:cs="Times New Roman"/>
          <w:sz w:val="24"/>
          <w:szCs w:val="24"/>
        </w:rPr>
        <w:t>-tervezetet az alábbiak szerint indokoljuk:</w:t>
      </w: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veszélyhelyzet kihirdetéséről szóló </w:t>
      </w:r>
      <w:r w:rsidRPr="00D56A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27/2021. (I. 29.) </w:t>
      </w:r>
      <w:r w:rsidRPr="00BC4E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Korm. rendelettel a Kormány az élet- és vagyonbiztonságot veszélyeztető tömeges megbetegedést okozó humánjárvány </w:t>
      </w:r>
      <w:r w:rsidRPr="00BC4EE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következményeinek elhárítása, a magyar állampolgárok egészségének és életének megóvása érdekében veszélyhelyzetet h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BC4E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rdetett ki.  A veszélyhelyzet fennállása alatt  a képviselő-testület </w:t>
      </w:r>
    </w:p>
    <w:p w:rsidR="00C427CC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30A0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gramEnd"/>
      <w:r w:rsidRPr="003030A0">
        <w:rPr>
          <w:rFonts w:ascii="Times New Roman" w:eastAsia="Times New Roman" w:hAnsi="Times New Roman" w:cs="Times New Roman"/>
          <w:sz w:val="24"/>
          <w:szCs w:val="24"/>
        </w:rPr>
        <w:t xml:space="preserve"> ülésezhet, hatáskörét a polgármester gyakorolja.</w:t>
      </w: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A polgármester a rendelet tervezetét a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C4EEE">
        <w:rPr>
          <w:rFonts w:ascii="Times New Roman" w:eastAsia="Times New Roman" w:hAnsi="Times New Roman" w:cs="Times New Roman"/>
          <w:sz w:val="24"/>
          <w:szCs w:val="24"/>
        </w:rPr>
        <w:t>épviselő-testület tagjaival véleményeztette, a véleményeket a rendelet megalkotása során figyelembe vette.  </w:t>
      </w: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A rendelet-tervezet elkészítésénél figyelembe vettük a jogszabályszerkesztésről szóló 61/2009. (XII.14.) IRM rendelet előírásait. </w:t>
      </w:r>
    </w:p>
    <w:p w:rsidR="00C427CC" w:rsidRDefault="00C427CC" w:rsidP="00C427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C4E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RÉSZLETES INDOKOLÁS</w:t>
      </w:r>
    </w:p>
    <w:p w:rsidR="00C427CC" w:rsidRDefault="00C427CC" w:rsidP="00C4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366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igazgatásról és szociális ellátásokról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  <w:r w:rsidRPr="00C366BA">
        <w:rPr>
          <w:rFonts w:ascii="Times New Roman" w:eastAsia="Times New Roman" w:hAnsi="Times New Roman" w:cs="Times New Roman"/>
          <w:sz w:val="24"/>
          <w:szCs w:val="24"/>
          <w:lang w:eastAsia="hu-HU"/>
        </w:rPr>
        <w:t>1993. évi III. törvény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C427CC" w:rsidRPr="00C366BA" w:rsidRDefault="00C427CC" w:rsidP="00C4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C366BA">
        <w:rPr>
          <w:rFonts w:ascii="Times New Roman" w:eastAsia="Times New Roman" w:hAnsi="Times New Roman" w:cs="Times New Roman"/>
          <w:sz w:val="24"/>
          <w:szCs w:val="24"/>
          <w:lang w:eastAsia="hu-HU"/>
        </w:rPr>
        <w:t>92. § (1)A személyes gondoskodást nyújtó ellátásokról, azok igénybevételéről, valamint a fizetendő térítési díjakról</w:t>
      </w:r>
    </w:p>
    <w:p w:rsidR="00C427CC" w:rsidRPr="00C366BA" w:rsidRDefault="00C427CC" w:rsidP="00C4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</w:p>
    <w:p w:rsidR="00C427CC" w:rsidRDefault="00C427CC" w:rsidP="00C4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6BA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proofErr w:type="gramStart"/>
      <w:r w:rsidRPr="00C366BA">
        <w:rPr>
          <w:rFonts w:ascii="Times New Roman" w:eastAsia="Times New Roman" w:hAnsi="Times New Roman" w:cs="Times New Roman"/>
          <w:sz w:val="24"/>
          <w:szCs w:val="24"/>
          <w:lang w:eastAsia="hu-HU"/>
        </w:rPr>
        <w:t>)ha</w:t>
      </w:r>
      <w:proofErr w:type="gramEnd"/>
      <w:r w:rsidRPr="00C366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fenntartó önkormányzati társulás, akkor a társulási megállapodásban megjelölt székhely szerinti vagy az erre kijelölt települési önkormányzat a társulási megállapodásban meghatározottak </w:t>
      </w:r>
      <w:proofErr w:type="spellStart"/>
      <w:r w:rsidRPr="00C366BA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szerintrendeletet</w:t>
      </w:r>
      <w:proofErr w:type="spellEnd"/>
      <w:r w:rsidRPr="00C366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alkot.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C427CC" w:rsidRPr="00C366BA" w:rsidRDefault="00C427CC" w:rsidP="00C4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 </w:t>
      </w:r>
      <w:r w:rsidRPr="00C366BA">
        <w:rPr>
          <w:rFonts w:ascii="Times New Roman" w:eastAsia="Times New Roman" w:hAnsi="Times New Roman" w:cs="Times New Roman"/>
          <w:sz w:val="24"/>
          <w:szCs w:val="24"/>
          <w:lang w:eastAsia="hu-HU"/>
        </w:rPr>
        <w:t>(2)720 Ha törvény másként nem rendelkezik, a fenntartó önkormányzat az (1) bekezdés szerinti rendeletben szabályozza</w:t>
      </w:r>
    </w:p>
    <w:p w:rsidR="00C427CC" w:rsidRPr="00C366BA" w:rsidRDefault="00C427CC" w:rsidP="00C4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</w:p>
    <w:p w:rsidR="00C427CC" w:rsidRDefault="00C427CC" w:rsidP="00C4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366BA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C366BA">
        <w:rPr>
          <w:rFonts w:ascii="Times New Roman" w:eastAsia="Times New Roman" w:hAnsi="Times New Roman" w:cs="Times New Roman"/>
          <w:sz w:val="24"/>
          <w:szCs w:val="24"/>
          <w:lang w:eastAsia="hu-HU"/>
        </w:rPr>
        <w:t>) a személyes gondoskodásért fizetendő térítési díjak mértékét, a fizetésre kötelezettek körét, a térítési díj csökkentésének, illetve elengedésének eseteit és módjait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.”</w:t>
      </w:r>
    </w:p>
    <w:p w:rsidR="00C427CC" w:rsidRPr="00C366BA" w:rsidRDefault="00C427CC" w:rsidP="00C4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C366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115. § (1)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alkalommal, támogatott lakhatás esetében két alkalommal korrigálható.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</w:p>
    <w:p w:rsidR="00C427CC" w:rsidRDefault="00C427CC" w:rsidP="00C4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C366BA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kötelezett által fizetendő térítési díj összegét (a továbbiakban: személyi térítési díj) az intézményvezető konkrét összegben állapítja meg, és arról az ellátást igénylőt a megállapodás megkötésekor írásban tájékoztatja. A személyi térítési díj nem haladhatja meg az intézményi térítési díj összegét.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C427CC" w:rsidRPr="00C366BA" w:rsidRDefault="00C427CC" w:rsidP="00C4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a társulás által fenntartott intézményre vonatkozóan ezzel a szabályozással eleget tesz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 alkotási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intézményi térítési díj felülvizsgálati kötelezettségének. </w:t>
      </w: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b/>
          <w:sz w:val="24"/>
          <w:szCs w:val="24"/>
        </w:rPr>
        <w:t>Az indokolás közzétételének szabályai</w:t>
      </w: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>A jogszabály tervezetéhez a jogszabály előkészítője indokolást csatol, amelyben bemutatja azokat a társadalmi, gazdasági, szakmai okokat és célokat, amelyek a javasolt szabályozást szükségessé teszik, továbbá ismerteti a jogi szabályozás várható hatásait, és az álláspontját az indokolás közzétételéről.</w:t>
      </w: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A jogszabály tervezetének indokolásában tájékoztatást kell adni a javasolt szabályozás és az európai uniós jogból eredő kötelezettségek összhangjáról, valamint a </w:t>
      </w:r>
      <w:proofErr w:type="spellStart"/>
      <w:r w:rsidRPr="00BC4EEE">
        <w:rPr>
          <w:rFonts w:ascii="Times New Roman" w:eastAsia="Times New Roman" w:hAnsi="Times New Roman" w:cs="Times New Roman"/>
          <w:sz w:val="24"/>
          <w:szCs w:val="24"/>
        </w:rPr>
        <w:t>Jat</w:t>
      </w:r>
      <w:proofErr w:type="spellEnd"/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. 20. § szerinti egyeztetési </w:t>
      </w:r>
      <w:proofErr w:type="spellStart"/>
      <w:r w:rsidRPr="00BC4EEE">
        <w:rPr>
          <w:rFonts w:ascii="Times New Roman" w:eastAsia="Times New Roman" w:hAnsi="Times New Roman" w:cs="Times New Roman"/>
          <w:sz w:val="24"/>
          <w:szCs w:val="24"/>
        </w:rPr>
        <w:t>kötelezettségről.</w:t>
      </w:r>
      <w:proofErr w:type="gramStart"/>
      <w:r w:rsidRPr="00BC4EE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 jogszabály tervezetéhez tartozó indokolás nyilvánosságát jogszabályban meghatározottak szerint kell </w:t>
      </w:r>
      <w:proofErr w:type="spellStart"/>
      <w:r w:rsidRPr="00BC4EEE">
        <w:rPr>
          <w:rFonts w:ascii="Times New Roman" w:eastAsia="Times New Roman" w:hAnsi="Times New Roman" w:cs="Times New Roman"/>
          <w:sz w:val="24"/>
          <w:szCs w:val="24"/>
        </w:rPr>
        <w:t>biztosítani.A</w:t>
      </w:r>
      <w:proofErr w:type="spellEnd"/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 jogszabály tervezetéhez tartozó indokolás kötelező erővel nem </w:t>
      </w:r>
      <w:proofErr w:type="spellStart"/>
      <w:r w:rsidRPr="00BC4EEE">
        <w:rPr>
          <w:rFonts w:ascii="Times New Roman" w:eastAsia="Times New Roman" w:hAnsi="Times New Roman" w:cs="Times New Roman"/>
          <w:sz w:val="24"/>
          <w:szCs w:val="24"/>
        </w:rPr>
        <w:t>rendelkezik.A</w:t>
      </w:r>
      <w:proofErr w:type="spellEnd"/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 jogszabály értelmezésekor figyelmen kívül kell hagyni a jogszabály tervezetéhez tartozó indokolás jogszabályszöveggel ellentétes részét.</w:t>
      </w: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Az önkormányzati rendelet tervezetéhez tartozó, a megalkotását megelőzően rendelkezésre álló, végső előterjesztői indokolást a Nemzeti Jogszabálytárban kell közzétenni. A </w:t>
      </w:r>
      <w:r w:rsidRPr="00BC4EEE">
        <w:rPr>
          <w:rFonts w:ascii="Times New Roman" w:eastAsia="Times New Roman" w:hAnsi="Times New Roman" w:cs="Times New Roman"/>
          <w:sz w:val="24"/>
          <w:szCs w:val="24"/>
        </w:rPr>
        <w:lastRenderedPageBreak/>
        <w:t>közzétételre a rendelet kihirdetését követően kerülhet sor. A közzétett indokolás a közzétételét követően nem módosítható.</w:t>
      </w: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Az önkormányzati rendelet tervezetéhez tartozó indokolást – a jogszabály előkészítőjének az indokolásban kifejtett, erre vonatkozó álláspontja alapján – nem kell közzétenni, ha a jogszabályjelentős társadalmi, gazdasági, költségvetési hatása, környezeti és egészségi következménye, adminisztratív terheket befolyásoló hatása nem kimutatható, </w:t>
      </w:r>
      <w:proofErr w:type="spellStart"/>
      <w:r w:rsidRPr="00BC4EEE">
        <w:rPr>
          <w:rFonts w:ascii="Times New Roman" w:eastAsia="Times New Roman" w:hAnsi="Times New Roman" w:cs="Times New Roman"/>
          <w:sz w:val="24"/>
          <w:szCs w:val="24"/>
        </w:rPr>
        <w:t>illetvetechnikai</w:t>
      </w:r>
      <w:proofErr w:type="spellEnd"/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 vagy végrehajtási </w:t>
      </w:r>
      <w:proofErr w:type="spellStart"/>
      <w:r w:rsidRPr="00BC4EEE">
        <w:rPr>
          <w:rFonts w:ascii="Times New Roman" w:eastAsia="Times New Roman" w:hAnsi="Times New Roman" w:cs="Times New Roman"/>
          <w:sz w:val="24"/>
          <w:szCs w:val="24"/>
        </w:rPr>
        <w:t>jellegű.</w:t>
      </w:r>
      <w:proofErr w:type="gramStart"/>
      <w:r w:rsidRPr="00BC4EE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 különleges jogrendben alkotható jogszabály tervezetéhez tartozó indokolást nem kell közzétenni.</w:t>
      </w: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b/>
          <w:sz w:val="24"/>
          <w:szCs w:val="24"/>
        </w:rPr>
        <w:t>Álláspont az indokolás közzétételéről</w:t>
      </w: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A rendelet előzetes hatásvizsgálatban bemutatott társadalmi, gazdasági, költségvetési hatása, környezeti és egészségi következménye, adminisztratív terheket befolyásoló hatása kimutatható. A javasolt szabályozás és az európai uniós jogból eredő kötelezettség összhangban vannak, a </w:t>
      </w:r>
      <w:proofErr w:type="spellStart"/>
      <w:r w:rsidRPr="00BC4EEE">
        <w:rPr>
          <w:rFonts w:ascii="Times New Roman" w:eastAsia="Times New Roman" w:hAnsi="Times New Roman" w:cs="Times New Roman"/>
          <w:sz w:val="24"/>
          <w:szCs w:val="24"/>
        </w:rPr>
        <w:t>Jat</w:t>
      </w:r>
      <w:proofErr w:type="spellEnd"/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. 20. § szerinti egyeztetési kötelezettség nem szükséges. A rendelet elfogadására általánosan irányadó elfogadási szabályok a veszélyhelyzet időtartama alatt nem alkalmazhatóak (társadalmi egyeztetés,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C4EEE">
        <w:rPr>
          <w:rFonts w:ascii="Times New Roman" w:eastAsia="Times New Roman" w:hAnsi="Times New Roman" w:cs="Times New Roman"/>
          <w:sz w:val="24"/>
          <w:szCs w:val="24"/>
        </w:rPr>
        <w:t>épviselő-testületi tárgyalás és előterjesztés).</w:t>
      </w:r>
    </w:p>
    <w:p w:rsidR="00C427CC" w:rsidRPr="00BC4EEE" w:rsidRDefault="00C427CC" w:rsidP="00C427CC">
      <w:pPr>
        <w:tabs>
          <w:tab w:val="center" w:pos="4536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gramStart"/>
      <w:r w:rsidRPr="00BC4EEE">
        <w:rPr>
          <w:rFonts w:ascii="Times New Roman" w:eastAsia="Times New Roman" w:hAnsi="Times New Roman" w:cs="Times New Roman"/>
          <w:bCs/>
          <w:sz w:val="24"/>
          <w:szCs w:val="24"/>
        </w:rPr>
        <w:t>veszélyhelyzetben</w:t>
      </w:r>
      <w:proofErr w:type="gramEnd"/>
      <w:r w:rsidRPr="00BC4EEE">
        <w:rPr>
          <w:rFonts w:ascii="Times New Roman" w:eastAsia="Times New Roman" w:hAnsi="Times New Roman" w:cs="Times New Roman"/>
          <w:bCs/>
          <w:sz w:val="24"/>
          <w:szCs w:val="24"/>
        </w:rPr>
        <w:t xml:space="preserve"> mint különleges jogrendben alkotható jogszabály tervezetéhez tartozó indokolást nem kell közzétenni.</w:t>
      </w:r>
    </w:p>
    <w:p w:rsidR="006760E6" w:rsidRDefault="006760E6"/>
    <w:sectPr w:rsidR="006760E6" w:rsidSect="00676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427CC"/>
    <w:rsid w:val="00073E20"/>
    <w:rsid w:val="00121F2B"/>
    <w:rsid w:val="00373F76"/>
    <w:rsid w:val="003E7C12"/>
    <w:rsid w:val="006760E6"/>
    <w:rsid w:val="00AD34A5"/>
    <w:rsid w:val="00AE007E"/>
    <w:rsid w:val="00C427CC"/>
    <w:rsid w:val="00D0575E"/>
    <w:rsid w:val="00E5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27CC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2021-03-03T08:21:00Z</dcterms:created>
  <dcterms:modified xsi:type="dcterms:W3CDTF">2021-03-03T08:21:00Z</dcterms:modified>
</cp:coreProperties>
</file>