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15" w:rsidRDefault="00F70215" w:rsidP="00F70215">
      <w:pPr>
        <w:jc w:val="right"/>
        <w:rPr>
          <w:rFonts w:ascii="Times New Roman" w:hAnsi="Times New Roman" w:cs="Times New Roman"/>
          <w:b/>
          <w:bCs/>
          <w:sz w:val="26"/>
          <w:szCs w:val="26"/>
        </w:rPr>
      </w:pPr>
      <w:r w:rsidRPr="00F70215">
        <w:rPr>
          <w:rFonts w:ascii="Times New Roman" w:hAnsi="Times New Roman" w:cs="Times New Roman"/>
          <w:b/>
          <w:bCs/>
          <w:sz w:val="26"/>
          <w:szCs w:val="26"/>
        </w:rPr>
        <w:t xml:space="preserve">5. sz. melléklet </w:t>
      </w:r>
    </w:p>
    <w:p w:rsidR="00F70215" w:rsidRPr="00F70215" w:rsidRDefault="00F70215">
      <w:pPr>
        <w:rPr>
          <w:rFonts w:ascii="Times New Roman" w:hAnsi="Times New Roman" w:cs="Times New Roman"/>
          <w:b/>
          <w:bCs/>
          <w:sz w:val="26"/>
          <w:szCs w:val="26"/>
        </w:rPr>
      </w:pPr>
      <w:bookmarkStart w:id="0" w:name="_GoBack"/>
      <w:bookmarkEnd w:id="0"/>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PÁLYÁZTATÁSI ÉS LICITÁLTATÁSI SZABÁLYZAT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I. A PÁLYÁZTATÁS RENDJE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1) A pályázati felhívás nyilvános vagy zárkörű lehet.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 Zártkörű pályázatot kell kiírni, ha a nyilvános pályázat a település közérdekét sérti, </w:t>
      </w:r>
      <w:proofErr w:type="gramStart"/>
      <w:r w:rsidRPr="00F70215">
        <w:rPr>
          <w:rFonts w:ascii="Times New Roman" w:hAnsi="Times New Roman" w:cs="Times New Roman"/>
          <w:sz w:val="26"/>
          <w:szCs w:val="26"/>
        </w:rPr>
        <w:t>továbbá</w:t>
      </w:r>
      <w:proofErr w:type="gramEnd"/>
      <w:r w:rsidRPr="00F70215">
        <w:rPr>
          <w:rFonts w:ascii="Times New Roman" w:hAnsi="Times New Roman" w:cs="Times New Roman"/>
          <w:sz w:val="26"/>
          <w:szCs w:val="26"/>
        </w:rPr>
        <w:t xml:space="preserve"> ha teljesítésére csak meghatározott ajánlattevők alkalmasak.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3) A nyilvános pályázati felhívást </w:t>
      </w:r>
      <w:r>
        <w:rPr>
          <w:rFonts w:ascii="Times New Roman" w:hAnsi="Times New Roman" w:cs="Times New Roman"/>
          <w:sz w:val="26"/>
          <w:szCs w:val="26"/>
        </w:rPr>
        <w:t>Nagyrév</w:t>
      </w:r>
      <w:r w:rsidRPr="00F70215">
        <w:rPr>
          <w:rFonts w:ascii="Times New Roman" w:hAnsi="Times New Roman" w:cs="Times New Roman"/>
          <w:sz w:val="26"/>
          <w:szCs w:val="26"/>
        </w:rPr>
        <w:t xml:space="preserve"> község hirdetőtábláin, honlapján kell meghirdetni. 5 millió forinttól 20 millió forintig a megyei napilapban, 20 millió forint felett országos napilapban is meg kell hirdetni.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 A zártkörű pályázati felhívásról a meghívott ajánlattevőket egyidejűleg és közvetlenül kell tájékoztatni.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5) A kiíró olyan adatokat tartalmazó ajánlatokat is kérhet, melyekből meg tudja állapítani, hogy az ajánlattevő teljesítőképessége, eddigi tevékenysége, szakismerete, valamint megbízhatósága és pénzügyi helyzete alapján alkalmas-e a felhívásban megjelölt kötelezettség teljesítésére.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6) A pályázati kiírás elkészítéséről, a pályázat meghirdetéséről és a pályázati eljárás szabályszerű lebonyolításához szükséges egyéb feltételek biztosításáról a Tiszakürt Közös Önkormányzati Hivatal munkacsoport formájában gondoskodik.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7) A pályázati kiírásnak tartalmaznia kell: a) a pályázati eljárás alapjául szolgáló cél, illetve feladat, valamint az ehhez kapcsolódó kötelezettségek pontos meghatározását, ideértve annak műszaki, kereskedelmi, jogi feltételeit is, b) a teljesítés helyét és legkésőbbi határidejét, c) az ellenszolgáltatással kapcsolatos kikötéseket és feltételeket, d) az ajánlatok benyújtására, felbontási helyére és idejére, valamint az elbírálásra vonatkozó időpontokat és szempontokat. e) pályázati biztosíték fizetésére vonatkozó feltételeket.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8) A pályázati felhívásban meg kell jelölni az ajánlatok elkészítéséhez rendelkezésre bocsátandó dokumentáció beszerzésének helyét és feltételét.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9) Az ajánlatok benyújtására vonatkozó időpontot a felhívásban úgy kell meghatározni, hogy a felhívás közzététele és az ajánlatok benyújtására vonatkozó időpontok között legalább harminc nap különbség legyen.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10) A pályázati kiírás az ajánlatok benyújtására megjelölt időpontig visszavonható, amelyet a felhívással azonos módon kell közzétenni.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11) A kiírás visszavonása esetén - ha a részletes dokumentáció rendelkezésre bocsátása ellenérték fejében történt - az ellenérték visszajár, az ajánlattevők pedig a dokumentáció visszaadására kötelesek.</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lastRenderedPageBreak/>
        <w:t xml:space="preserve"> 12) A pályázati felhívásra beküldött ajánlatnak tartalmaznia kell az ajánlattevő részletes nyilatkozatát különösen: a) a pályázatban kiírt feltételekre, azok megvalósításának határidejére, b) az igényelt esetleges ellenszolgáltatásra.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13) Az ajánlattevő az ajánlatában közölt egyes adatok nyilvánosságra hozatalát megtilthatja. Az ajánlattevő a nevének, az általa igényelt ellenszolgáltatásnak és a teljesítési határidőnek a nyilvánosságra hozatalát nem tilthatja meg.</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 14) Az ajánlatot zárt borítékban kell benyújtani és fel kell tüntetni az adott pályázati kiírásra utaló jelzést.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15) Az ajánlattevő az ajánlathoz - a pályázati kiírásban közölt - elbírálási időpontot követő harminc napig kötve marad, kivéve, ha az elbírálási időpontban valamelyik ajánlattevővel a szerződés létrejön, vagy egyik ajánlattevővel sem jön létre szerződés. 16) A pályázatokat a képviselő-testület bírálja el. A képviselő-testület egyszerű szótöbbséggel dönt a pályázat elbírálásához esetlegesen szükséges szakértő(k) meghívásáról.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17) Az ajánlatok felbontásánál a képviselő-testület tagjai, az ajánlattevők, meghívásuk esetén </w:t>
      </w:r>
      <w:proofErr w:type="gramStart"/>
      <w:r w:rsidRPr="00F70215">
        <w:rPr>
          <w:rFonts w:ascii="Times New Roman" w:hAnsi="Times New Roman" w:cs="Times New Roman"/>
          <w:sz w:val="26"/>
          <w:szCs w:val="26"/>
        </w:rPr>
        <w:t>a közjegyző,</w:t>
      </w:r>
      <w:proofErr w:type="gramEnd"/>
      <w:r w:rsidRPr="00F70215">
        <w:rPr>
          <w:rFonts w:ascii="Times New Roman" w:hAnsi="Times New Roman" w:cs="Times New Roman"/>
          <w:sz w:val="26"/>
          <w:szCs w:val="26"/>
        </w:rPr>
        <w:t xml:space="preserve"> és a szakértők, valamint a jegyzőkönyvvezető lehetnek jelen.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18) A ajánlatok felbontását követően - az ajánlattevők azonosítása után - a képviselő-testület tagjai megállapítják, hogy az ajánlatok közül melyek az érvényesek és érvénytelenek, melyről vita esetén a képviselő-testület egyszerű szótöbbséggel dönt.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19) Érvénytelen az ajánlat, ha: a) olyan ajánlattevő nyújtotta </w:t>
      </w:r>
      <w:proofErr w:type="gramStart"/>
      <w:r w:rsidRPr="00F70215">
        <w:rPr>
          <w:rFonts w:ascii="Times New Roman" w:hAnsi="Times New Roman" w:cs="Times New Roman"/>
          <w:sz w:val="26"/>
          <w:szCs w:val="26"/>
        </w:rPr>
        <w:t>be</w:t>
      </w:r>
      <w:proofErr w:type="gramEnd"/>
      <w:r w:rsidRPr="00F70215">
        <w:rPr>
          <w:rFonts w:ascii="Times New Roman" w:hAnsi="Times New Roman" w:cs="Times New Roman"/>
          <w:sz w:val="26"/>
          <w:szCs w:val="26"/>
        </w:rPr>
        <w:t xml:space="preserve"> aki, vagy amelyik nem jogosult részt venni a pályázaton. b) azt, az ajánlat benyújtására meghatározott határidő eltelte után nyújtották be, c) nem felel meg a pályázati kiírás feltételeinek.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20) Az érvénytelen ajánlat az elbírálás további szakaszában nem vehet részt.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21) Az érvényesség megállapítását követően ismertetni kell az érvényes ajánlatok lényeges tartalmát, azon adatok kivételével, amelyeknek nyilvánosságra hozatalát az ajánlattevő megtiltotta.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22) Az ajánlatok felbontásáról és a pályázatokkal kapcsolatos megállapításokról jegyzőkönyvet kell készíteni, amelyről az ajánlattevők másolatot kapnak.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23) A képviselő-testület tagjait, illetve a felkért szakértőket titoktartási kötelezettség terheli. Az elbírálásban résztvevők az e minőségükben tudomásukra jutott információkat kizárólag az ajánlatok értékelésének (elbírálásának) a céljára használhatják fel.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24) Az ajánlatok elbírálásában nem vehet részt, aki a) az ajánlattevő közeli hozzátartozója (Ptk. 685. § </w:t>
      </w:r>
      <w:proofErr w:type="spellStart"/>
      <w:r w:rsidRPr="00F70215">
        <w:rPr>
          <w:rFonts w:ascii="Times New Roman" w:hAnsi="Times New Roman" w:cs="Times New Roman"/>
          <w:sz w:val="26"/>
          <w:szCs w:val="26"/>
        </w:rPr>
        <w:t>b.</w:t>
      </w:r>
      <w:proofErr w:type="spellEnd"/>
      <w:r w:rsidRPr="00F70215">
        <w:rPr>
          <w:rFonts w:ascii="Times New Roman" w:hAnsi="Times New Roman" w:cs="Times New Roman"/>
          <w:sz w:val="26"/>
          <w:szCs w:val="26"/>
        </w:rPr>
        <w:t>/ pont) b) munkaviszony (ideértve a közalkalmazotti, köztisztviselői, hivatásos szolgálati jogviszonyt is) alapján az ajánlattevő közvetlen felettese, beosztottja vagy alkalmazottja c) szerződéses jogviszony keretében az ajánlattevő foglalkoztatottja, d) az ajánlattevő cég tulajdonosa (résztulajdonosa),</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lastRenderedPageBreak/>
        <w:t xml:space="preserve"> 25) Az ajánlatok elbírálásában nem vehet részt az, akitől - bármely oknál fogva - nem várható el az ajánlatok tárgyilagos megítélése.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26) A pályázat elbírálásában résztvevő köteles haladéktalanul bejelenteni, ha vele szemben összeférhetetlenségi ok áll fenn.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27) Összeférhetetlenségi ügyben a polgármester dönt. Amennyiben az összeférhetetlenség az eljárásban közreműködő - a képviselő-testület által meghívott - szakértővel szemben került megállapításra, az összeférhetetlenség megállapítását követően új szakértő meghívásáról a képviselő-testület gondoskodik.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28) Az ajánlattevő(k) a pályázat elbírálásában résztvevő személyekkel szembeni összeférhetetlenségi okot legkésőbb az ajánlatok elbírálásáig nyújthatják be.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29) Amennyiben az ajánlattevő(k) részéről a pályázat elbírálását követően merül fel összeférhetetlenségi okra hivatkozással kifogás, a kiíró nem köteles ennek alapján új eljárást lefolytatni, a pályázat érvényességét, szabályszerűségét bíróság előtt lehet megtámadni.</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 30) Az ajánlatokat a vagyonrendeletben megállapított értékhatár (</w:t>
      </w:r>
      <w:r>
        <w:rPr>
          <w:rFonts w:ascii="Times New Roman" w:hAnsi="Times New Roman" w:cs="Times New Roman"/>
          <w:sz w:val="26"/>
          <w:szCs w:val="26"/>
        </w:rPr>
        <w:t>2.0</w:t>
      </w:r>
      <w:r w:rsidRPr="00F70215">
        <w:rPr>
          <w:rFonts w:ascii="Times New Roman" w:hAnsi="Times New Roman" w:cs="Times New Roman"/>
          <w:sz w:val="26"/>
          <w:szCs w:val="26"/>
        </w:rPr>
        <w:t xml:space="preserve">00 000 Ft) függvényében vagy </w:t>
      </w:r>
      <w:proofErr w:type="gramStart"/>
      <w:r w:rsidRPr="00F70215">
        <w:rPr>
          <w:rFonts w:ascii="Times New Roman" w:hAnsi="Times New Roman" w:cs="Times New Roman"/>
          <w:sz w:val="26"/>
          <w:szCs w:val="26"/>
        </w:rPr>
        <w:t>a polgármester</w:t>
      </w:r>
      <w:proofErr w:type="gramEnd"/>
      <w:r w:rsidRPr="00F70215">
        <w:rPr>
          <w:rFonts w:ascii="Times New Roman" w:hAnsi="Times New Roman" w:cs="Times New Roman"/>
          <w:sz w:val="26"/>
          <w:szCs w:val="26"/>
        </w:rPr>
        <w:t xml:space="preserve"> vagy a képviselő-testület bírálja el, a tárgyalásról jegyzőkönyv készül. Az ajánlatok megvitatásán a polgármesteren vagy a képviselő-testület tagjain és a meghívott </w:t>
      </w:r>
      <w:proofErr w:type="gramStart"/>
      <w:r w:rsidRPr="00F70215">
        <w:rPr>
          <w:rFonts w:ascii="Times New Roman" w:hAnsi="Times New Roman" w:cs="Times New Roman"/>
          <w:sz w:val="26"/>
          <w:szCs w:val="26"/>
        </w:rPr>
        <w:t>szakértőkön</w:t>
      </w:r>
      <w:proofErr w:type="gramEnd"/>
      <w:r w:rsidRPr="00F70215">
        <w:rPr>
          <w:rFonts w:ascii="Times New Roman" w:hAnsi="Times New Roman" w:cs="Times New Roman"/>
          <w:sz w:val="26"/>
          <w:szCs w:val="26"/>
        </w:rPr>
        <w:t xml:space="preserve"> valamint a jegyzőkönyvvezetőn kívül más nem vehet részt.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31) A képviselő-testület határozatképes, ha tagjainak több, mint a fele jelen van. Ha az ajánlatok elbírálása bizonyos kérdések tisztázását teszi szükségessé, az ajánlattevőktől felvilágosítást kérhet a képviselő-testület.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32) A </w:t>
      </w:r>
      <w:proofErr w:type="gramStart"/>
      <w:r w:rsidRPr="00F70215">
        <w:rPr>
          <w:rFonts w:ascii="Times New Roman" w:hAnsi="Times New Roman" w:cs="Times New Roman"/>
          <w:sz w:val="26"/>
          <w:szCs w:val="26"/>
        </w:rPr>
        <w:t>polgármester</w:t>
      </w:r>
      <w:proofErr w:type="gramEnd"/>
      <w:r w:rsidRPr="00F70215">
        <w:rPr>
          <w:rFonts w:ascii="Times New Roman" w:hAnsi="Times New Roman" w:cs="Times New Roman"/>
          <w:sz w:val="26"/>
          <w:szCs w:val="26"/>
        </w:rPr>
        <w:t xml:space="preserve"> illetve képviselő-testület az ajánlatok felbontását követő 30 napon belül köteles döntést hozni a pályázat eredményéről.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33) Az ajánlatok elbírálására vonatkozó döntés kihirdetése az ajánlattevők jelenlétében történik. Távollét nem akadályozza a kihirdetést.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34) A kihirdetésen jelen nem lévő ajánlattevőket a döntésről haladéktalanul írásban értesíteni kell.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35) Ha a képviselő-testület valamelyik ajánlattevő ajánlatát elfogadja, melyről egyszerű szótöbbséggel hozott határozattal dönt, akkor a nyertes ajánlattevő köteles: a) a jelenlévő ajánlattevő esetében az írásba foglalt döntés kihirdetésétől számított 15 napon belül, b) a jelen nem lévő ajánlattevő esetében az értesítés átvételének napjától számított 15 napon belül, de legkésőbb kihirdetéstől számított 30 napon belül a szerződést aláírni. 36) Az ajánlatok kizárólag az elbírálásra használhatók fel, más célú felhasználás esetén az ajánlattevővel külön meg kell állapodni.</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 37) Az ajánlattevő az ajánlat kidolgozásáért térítést nem igényelhet.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lastRenderedPageBreak/>
        <w:t xml:space="preserve">38) Ha a polgármester vagy a képviselő-testület egyik ajánlattevő ajánlatát sem fogadja el és a részletes dokumentációt ellenérték fejében bocsátotta rendelkezésre, úgy e vonatkozásban a pályázati felhívás visszavonására meghatározott rendelkezéseket kell alkalmazni.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39) A képviselő-testület által elfogadott ajánlat alapján a szerződést a polgármester írja alá.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II. A LICITÁLÁS (ÁRVERÉS) KIÍRÁSA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40) A licitálás nyilvános vagy zárkörű lehet.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41) Zártkörű licitálást kell kiírni, ha a nyilvános licitálás a település közérdekét sérti. A zártkörű licitálás meghirdetéséről a polgármester dönt.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42) A nyilvános licitálást a (3) bekezdés, a zártkörű licitálást a (4) bekezdés szerint kell meghirdetni.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43) A licitálásról és technikai feltételeinek biztosításáról a polgármesteri hivatal gondoskodik.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44) A licitálási hirdetményben, melyet írásban kell megadni, valamennyi résztvevő számára egyenlő esélyt kell biztosítani.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45) A licitálási hirdetménynek tartalmaznia kell: a) a kikiáltási árat, valamint a műszaki, kereskedelmi és jogi feltételeket, b) az ingatlan, vagy egyéb tárgyi eszköz megtekintési lehetőségét, c) a licitálás helyét és idejét, d) az áremelés alsó és felső határát, e) a bánatpénzzel és az ellenszolgáltatással kapcsolatos kikötéseket és feltételeket,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46) A licitálás időpontját a hirdetményben úgy kell meghatározni, hogy a hirdetmény közzététele és a licitálás között legalább húsz nap különbség legyen.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47) A licitálási hirdetmény a licitálás időpontjáig visszavonható, amelyet a meghirdetéssel azonos módon kell közzétenni.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48) A licitálást </w:t>
      </w:r>
      <w:r>
        <w:rPr>
          <w:rFonts w:ascii="Times New Roman" w:hAnsi="Times New Roman" w:cs="Times New Roman"/>
          <w:sz w:val="26"/>
          <w:szCs w:val="26"/>
        </w:rPr>
        <w:t>2.0</w:t>
      </w:r>
      <w:r w:rsidRPr="00F70215">
        <w:rPr>
          <w:rFonts w:ascii="Times New Roman" w:hAnsi="Times New Roman" w:cs="Times New Roman"/>
          <w:sz w:val="26"/>
          <w:szCs w:val="26"/>
        </w:rPr>
        <w:t xml:space="preserve">00 000 Ft értékhatár alatt a polgármester, felette pedig a képviselő-testület bonyolítja le a jegyző közreműködésével.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49) Az ajánlattevők azonosítása után a képviselő-testület tagjai megállapítják, hogy az ajánlatok közül melyek az érvényesek és érvénytelenek, melyről vita esetén a képviselőtestület egyszerű szótöbbséggel dönt.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50) A licitálás nyertese a legmagasabb, vagy a kikiáltási összeget kínáló ajánlattevő szerződéskötési jogot szerez.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51) A licitálás nyertesének elállása esetén a második legkedvezőbb ajánlatot tevő szerez szerződéskötési jogot.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 xml:space="preserve">52) A licitálás eredményének kihirdetése az ajánlattevők jelenlétében történik </w:t>
      </w:r>
    </w:p>
    <w:p w:rsid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lastRenderedPageBreak/>
        <w:t xml:space="preserve">53) A licitálás lefolytatásáról a képviselő-testület jegyzőkönyvet készít, amelyből a licitálás nyertese másolatot kap. </w:t>
      </w:r>
    </w:p>
    <w:p w:rsidR="008803AE" w:rsidRPr="00F70215" w:rsidRDefault="00F70215" w:rsidP="00F70215">
      <w:pPr>
        <w:jc w:val="both"/>
        <w:rPr>
          <w:rFonts w:ascii="Times New Roman" w:hAnsi="Times New Roman" w:cs="Times New Roman"/>
          <w:sz w:val="26"/>
          <w:szCs w:val="26"/>
        </w:rPr>
      </w:pPr>
      <w:r w:rsidRPr="00F70215">
        <w:rPr>
          <w:rFonts w:ascii="Times New Roman" w:hAnsi="Times New Roman" w:cs="Times New Roman"/>
          <w:sz w:val="26"/>
          <w:szCs w:val="26"/>
        </w:rPr>
        <w:t>54) A licitálás nyertesének a hirdetményben meghatározott határidőn belül a szerződést alá kell írnia, és a teljes vételárat ki kell egyenlítenie.</w:t>
      </w:r>
    </w:p>
    <w:sectPr w:rsidR="008803AE" w:rsidRPr="00F70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15"/>
    <w:rsid w:val="008803AE"/>
    <w:rsid w:val="00F702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C339"/>
  <w15:chartTrackingRefBased/>
  <w15:docId w15:val="{1E5DC5DC-3808-40B0-B159-A41B78DF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1299</Words>
  <Characters>8964</Characters>
  <Application>Microsoft Office Word</Application>
  <DocSecurity>0</DocSecurity>
  <Lines>74</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TiszakurtASP2</dc:creator>
  <cp:keywords/>
  <dc:description/>
  <cp:lastModifiedBy>TiszakurtASP2</cp:lastModifiedBy>
  <cp:revision>1</cp:revision>
  <dcterms:created xsi:type="dcterms:W3CDTF">2019-11-18T10:08:00Z</dcterms:created>
  <dcterms:modified xsi:type="dcterms:W3CDTF">2019-11-18T10:14:00Z</dcterms:modified>
</cp:coreProperties>
</file>