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ADB" w:rsidRPr="008E6DD8" w:rsidRDefault="007E3ADB" w:rsidP="007E3ADB">
      <w:pPr>
        <w:spacing w:after="0" w:line="240" w:lineRule="auto"/>
        <w:jc w:val="center"/>
        <w:rPr>
          <w:rFonts w:ascii="Times New Roman" w:hAnsi="Times New Roman"/>
          <w:caps/>
          <w:lang w:eastAsia="hu-HU"/>
        </w:rPr>
      </w:pPr>
      <w:r>
        <w:rPr>
          <w:rFonts w:ascii="Times New Roman" w:hAnsi="Times New Roman"/>
          <w:caps/>
          <w:lang w:eastAsia="hu-HU"/>
        </w:rPr>
        <w:t>2020</w:t>
      </w:r>
      <w:r w:rsidRPr="008E6DD8">
        <w:rPr>
          <w:rFonts w:ascii="Times New Roman" w:hAnsi="Times New Roman"/>
          <w:caps/>
          <w:lang w:eastAsia="hu-HU"/>
        </w:rPr>
        <w:t>. évi költségvetési rendelet szöveges indoklása</w:t>
      </w:r>
    </w:p>
    <w:p w:rsidR="007E3ADB" w:rsidRPr="008E6DD8" w:rsidRDefault="007E3ADB" w:rsidP="007E3ADB">
      <w:pPr>
        <w:spacing w:after="0" w:line="240" w:lineRule="auto"/>
        <w:jc w:val="both"/>
        <w:rPr>
          <w:rFonts w:ascii="Times New Roman" w:hAnsi="Times New Roman"/>
          <w:lang w:eastAsia="hu-HU"/>
        </w:rPr>
      </w:pPr>
      <w:r w:rsidRPr="008E6DD8">
        <w:rPr>
          <w:noProof/>
          <w:lang w:eastAsia="hu-HU"/>
        </w:rPr>
        <mc:AlternateContent>
          <mc:Choice Requires="wps">
            <w:drawing>
              <wp:anchor distT="4294967294" distB="4294967294" distL="114300" distR="114300" simplePos="0" relativeHeight="251659264" behindDoc="0" locked="0" layoutInCell="1" allowOverlap="1">
                <wp:simplePos x="0" y="0"/>
                <wp:positionH relativeFrom="column">
                  <wp:posOffset>571500</wp:posOffset>
                </wp:positionH>
                <wp:positionV relativeFrom="paragraph">
                  <wp:posOffset>95249</wp:posOffset>
                </wp:positionV>
                <wp:extent cx="4686300" cy="0"/>
                <wp:effectExtent l="0" t="0" r="19050" b="19050"/>
                <wp:wrapNone/>
                <wp:docPr id="3" name="Egyenes összekötő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CE5C3" id="Egyenes összekötő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7.5pt" to="4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"/>
            </w:pict>
          </mc:Fallback>
        </mc:AlternateContent>
      </w:r>
    </w:p>
    <w:p w:rsidR="007E3ADB" w:rsidRPr="008E6DD8" w:rsidRDefault="007E3ADB" w:rsidP="007E3ADB">
      <w:pPr>
        <w:spacing w:after="0" w:line="240" w:lineRule="auto"/>
        <w:jc w:val="center"/>
        <w:rPr>
          <w:rFonts w:ascii="Times New Roman" w:hAnsi="Times New Roman"/>
          <w:b/>
          <w:lang w:eastAsia="hu-HU"/>
        </w:rPr>
      </w:pPr>
    </w:p>
    <w:p w:rsidR="007E3ADB" w:rsidRPr="008E6DD8" w:rsidRDefault="007E3ADB" w:rsidP="007E3ADB">
      <w:pPr>
        <w:spacing w:after="0" w:line="240" w:lineRule="auto"/>
        <w:jc w:val="center"/>
        <w:rPr>
          <w:rFonts w:ascii="Times New Roman" w:hAnsi="Times New Roman"/>
          <w:b/>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1–2.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költségvetési rendeletben kell meghatározni azt a kört, akiket a költségvetés végrehajtása valamilyen módon érint.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korábbi években bevezetett integrált számviteli rendszer biztosítani tudja az egyes szakmai feladatok részletes előirányzati és teljesítési adatainak figyelemmel kísérését. Ezek a feladatok tervezési alapegységet jelentenek, melyek alkalmazását az elmúlt évek költségvetési rendeletei határozták meg. A bevételi és kiadási előirányzatok beazonosítása indokolttá tette a címrend alkalmazását. A szabályozás biztosítja a folyamatos információkat a tervezett feladatok megvalósításáról.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 korábbi évek jogszabályi változásai miatt a Polgármesteri Hivatalban előirányzott ágazati feladatok megoldását szolgáló előirányzatokat külön önkormányzati címen kellett megtervezni. Ez azt jelentette, hogy a Polgármesteri Hivatal – mint intézmény - előirányzataiban az apparátus működésével kapcsolatos kiadások kerültek megtervezésre.</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Az Áht</w:t>
      </w:r>
      <w:r w:rsidRPr="008E6DD8">
        <w:rPr>
          <w:rFonts w:ascii="Times New Roman" w:hAnsi="Times New Roman"/>
          <w:vertAlign w:val="superscript"/>
          <w:lang w:eastAsia="hu-HU"/>
        </w:rPr>
        <w:footnoteReference w:id="1"/>
      </w:r>
      <w:r w:rsidRPr="008E6DD8">
        <w:rPr>
          <w:rFonts w:ascii="Times New Roman" w:hAnsi="Times New Roman"/>
          <w:lang w:eastAsia="hu-HU"/>
        </w:rPr>
        <w:t>. 23.§ (2) bekezdés a) pontjában foglaltak alapján a költségvetési rendeletben a bevételek és kiadások részletezését be kell mutatni a kötelező és önként vállalt feladatok bontásában is. Ennek az előírásnak tesz eleget az előirányzatok 3.c. számú melléklet szerinti csoportosítása.</w:t>
      </w:r>
    </w:p>
    <w:p w:rsidR="007E3ADB" w:rsidRPr="008E6DD8" w:rsidRDefault="007E3ADB" w:rsidP="007E3ADB">
      <w:pPr>
        <w:spacing w:after="0" w:line="240" w:lineRule="auto"/>
        <w:jc w:val="center"/>
        <w:rPr>
          <w:rFonts w:ascii="Times New Roman" w:hAnsi="Times New Roman"/>
          <w:b/>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3–4.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Az Áht. 23.§ (2) bekezdés c) – e) pontjai alapján a költségvetési rendeletnek tartalmaznia kell a bevételek és kiadások teljes körű számbavétele után létrejött hiány mértékét, és a hiány megszüntetésének módját.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autoSpaceDE w:val="0"/>
        <w:autoSpaceDN w:val="0"/>
        <w:adjustRightInd w:val="0"/>
        <w:spacing w:after="0" w:line="240" w:lineRule="auto"/>
        <w:jc w:val="both"/>
        <w:rPr>
          <w:rFonts w:ascii="Times New Roman" w:hAnsi="Times New Roman"/>
          <w:lang w:eastAsia="hu-HU"/>
        </w:rPr>
      </w:pPr>
      <w:r w:rsidRPr="008E6DD8">
        <w:rPr>
          <w:rFonts w:ascii="Times New Roman" w:hAnsi="Times New Roman"/>
          <w:lang w:eastAsia="hu-HU"/>
        </w:rPr>
        <w:t xml:space="preserve">A Közgyűlés a működési és a felhalmozási forráshiány megszüntetését belső finanszírozási bevételekből - az előző évek pénzmaradványából – valamint kamatozó kincstárjegy értékesítéséből biztosítja.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 költségvetési egyensúly megteremtése mellett, az egyensúly megtartása érdekében a bevételek növelését, illetve a kiadások csökkentését eredményező intézkedések megtételét is szorgalmazza a rendeleti előírás. Az intézkedéseknek az Adósságkezelési Komplex Program megállapításáról szóló 144/2011. (V.26.) számú közgyűlési határozatban elfogadott elvek és irányok képezik az alapját.</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Mindezeken túl a központi költségvetésben a helyi önkormányzatok kiegészítő támogatásaira benyújtható pályázatok elkészítést, források igénylését irányozza elő a rendelet.</w:t>
      </w:r>
    </w:p>
    <w:p w:rsidR="007E3ADB" w:rsidRPr="008E6DD8" w:rsidRDefault="007E3ADB" w:rsidP="007E3ADB">
      <w:pPr>
        <w:spacing w:after="0" w:line="240" w:lineRule="auto"/>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bevételi teljesítések időbeni szóródása, illetve a kiadási szükségletek teljesítése, a késedelmes fizetés elkerülése, valamint egyéb pénzellátási gondok elhárítása érdekében a rendelet 4. § (4) bekezdése likvid hitelkeretet határoz meg. </w:t>
      </w:r>
    </w:p>
    <w:p w:rsidR="007E3ADB" w:rsidRPr="008E6DD8" w:rsidRDefault="007E3ADB" w:rsidP="007E3ADB">
      <w:pPr>
        <w:spacing w:after="0" w:line="240" w:lineRule="auto"/>
        <w:jc w:val="both"/>
        <w:rPr>
          <w:rFonts w:ascii="Times New Roman" w:hAnsi="Times New Roman"/>
          <w:lang w:eastAsia="hu-HU"/>
        </w:rPr>
      </w:pPr>
    </w:p>
    <w:p w:rsidR="007E3ADB"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Az 5.b. számú melléklet tartalmazza a </w:t>
      </w:r>
      <w:r>
        <w:rPr>
          <w:rFonts w:ascii="Times New Roman" w:hAnsi="Times New Roman"/>
          <w:lang w:eastAsia="hu-HU"/>
        </w:rPr>
        <w:t>2020</w:t>
      </w:r>
      <w:r w:rsidRPr="008E6DD8">
        <w:rPr>
          <w:rFonts w:ascii="Times New Roman" w:hAnsi="Times New Roman"/>
          <w:lang w:eastAsia="hu-HU"/>
        </w:rPr>
        <w:t xml:space="preserve">. évben megvalósuló ill. folyamatban lévő fejlesztéseket. A rendelet 4.§ (5) bekezdése tartalmazza azokat az intézkedéseket, mellyel biztosítható a fejlesztések megvalósításához szükséges közel </w:t>
      </w:r>
      <w:r>
        <w:rPr>
          <w:rFonts w:ascii="Times New Roman" w:hAnsi="Times New Roman"/>
          <w:lang w:eastAsia="hu-HU"/>
        </w:rPr>
        <w:t>3</w:t>
      </w:r>
      <w:r w:rsidRPr="008E6DD8">
        <w:rPr>
          <w:rFonts w:ascii="Times New Roman" w:hAnsi="Times New Roman"/>
          <w:lang w:eastAsia="hu-HU"/>
        </w:rPr>
        <w:t>,</w:t>
      </w:r>
      <w:r>
        <w:rPr>
          <w:rFonts w:ascii="Times New Roman" w:hAnsi="Times New Roman"/>
          <w:lang w:eastAsia="hu-HU"/>
        </w:rPr>
        <w:t>2</w:t>
      </w:r>
      <w:r w:rsidRPr="008E6DD8">
        <w:rPr>
          <w:rFonts w:ascii="Times New Roman" w:hAnsi="Times New Roman"/>
          <w:lang w:eastAsia="hu-HU"/>
        </w:rPr>
        <w:t xml:space="preserve"> milliárd Ft Áfa finanszírozása úgy, hogy a költségvetés likvid egyensúlya ne sérüljön, a működtetés biztonságosan finanszírozható legyen.  </w:t>
      </w:r>
    </w:p>
    <w:p w:rsidR="007E3ADB" w:rsidRPr="008E6DD8" w:rsidRDefault="007E3ADB" w:rsidP="007E3ADB">
      <w:pPr>
        <w:spacing w:after="0" w:line="240" w:lineRule="auto"/>
        <w:jc w:val="both"/>
        <w:rPr>
          <w:rFonts w:ascii="Century Gothic" w:hAnsi="Century Gothic" w:cs="Century Gothic"/>
          <w:lang w:eastAsia="hu-HU"/>
        </w:rPr>
      </w:pPr>
    </w:p>
    <w:p w:rsidR="007E3ADB" w:rsidRPr="008E6DD8" w:rsidRDefault="007E3ADB" w:rsidP="007E3ADB">
      <w:pPr>
        <w:spacing w:after="0" w:line="240" w:lineRule="auto"/>
        <w:jc w:val="both"/>
        <w:rPr>
          <w:rFonts w:ascii="Times New Roman" w:hAnsi="Times New Roman"/>
          <w:color w:val="FF0000"/>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5.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lastRenderedPageBreak/>
        <w:t xml:space="preserve">Az (1), valamint az (2) bekezdésekben kiemelt tételek, az Áht. 23.§ (2.b) bekezdésében, valamint az államháztartásról szóló törvény végrehajtásáról szóló 368/2011. (XII.31.) kormányrendelet (továbbiakban: Ávr.)  24. § – ban foglalt előírások szerint kerültek be a költségvetési rendeletbe.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hatékony és célszerű bérgazdálkodás megköveteli, hogy az önkormányzat által irányított költségvetési intézményekben a feladatellátáshoz rendelt személyi kiadásokhoz álláshelyek legyenek kapcsolhatók. </w:t>
      </w:r>
      <w:r>
        <w:rPr>
          <w:rFonts w:ascii="Times New Roman" w:hAnsi="Times New Roman"/>
          <w:lang w:eastAsia="hu-HU"/>
        </w:rPr>
        <w:t xml:space="preserve">Tekintettel arra, hogy egyes költségvetési intézmények esetében a 2020. évi önkormányzati támogatás tartalmazza az intézmények által igényelt, feladataik ellátáshoz szükséges többlet létszám elismerését, ezért az engedélyezett intézményi létszám 2020. január 1-től, ill. az elismert többlet létszám tekintetében 2020. március 1-től került meghatározásra.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(4a) bekezdésben foglaltak szerint a Közgyűlés a Polgármesteri Hivatalnál foglalkoztatott köztisztviselők vonatkozásában élni kíván azon törvényi felhatalmazással, mely szerint az illetményalapot a közszolgálati tisztviselőkről szóló 2011. évi CXCIX. törvényben foglaltaktól eltérően - saját forrásai terhére magasabb összegben határozza meg.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polgármester és alpolgármesterek bérét és járulékait az Önkormányzati igazgatási kiadások között kell tervezni. A (4b) szakasz ezen szabályt rögzíti.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Az Áht. 24.§ (4) bekezdése meghatározza a Közgyűlés részére tájékoztatásul bemutatásra kerülő mérlegek és kimutatások tartalmát. Az (5) valamint a (6) bekezdésekben előírt mellékletek hivatottak azt biztosítani, hogy a jegyző által elkészített költségvetési rendelettervezet a hatályos jogszabályoknak megfeleljen. </w:t>
      </w:r>
    </w:p>
    <w:p w:rsidR="007E3ADB" w:rsidRPr="008E6DD8" w:rsidRDefault="007E3ADB" w:rsidP="007E3ADB">
      <w:pPr>
        <w:spacing w:after="0" w:line="240" w:lineRule="auto"/>
        <w:jc w:val="center"/>
        <w:rPr>
          <w:rFonts w:ascii="Times New Roman" w:hAnsi="Times New Roman"/>
          <w:b/>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6.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Az (1) – (2) bekezdésekben megfogalmazottak Magyarország </w:t>
      </w:r>
      <w:r>
        <w:rPr>
          <w:rFonts w:ascii="Times New Roman" w:hAnsi="Times New Roman"/>
          <w:lang w:eastAsia="hu-HU"/>
        </w:rPr>
        <w:t>2020</w:t>
      </w:r>
      <w:r w:rsidRPr="008E6DD8">
        <w:rPr>
          <w:rFonts w:ascii="Times New Roman" w:hAnsi="Times New Roman"/>
          <w:lang w:eastAsia="hu-HU"/>
        </w:rPr>
        <w:t>. évi központi költségvetéséről szóló 201</w:t>
      </w:r>
      <w:r>
        <w:rPr>
          <w:rFonts w:ascii="Times New Roman" w:hAnsi="Times New Roman"/>
          <w:lang w:eastAsia="hu-HU"/>
        </w:rPr>
        <w:t>9</w:t>
      </w:r>
      <w:r w:rsidRPr="008E6DD8">
        <w:rPr>
          <w:rFonts w:ascii="Times New Roman" w:hAnsi="Times New Roman"/>
          <w:lang w:eastAsia="hu-HU"/>
        </w:rPr>
        <w:t xml:space="preserve">. évi </w:t>
      </w:r>
      <w:r>
        <w:rPr>
          <w:rFonts w:ascii="Times New Roman" w:hAnsi="Times New Roman"/>
          <w:lang w:eastAsia="hu-HU"/>
        </w:rPr>
        <w:t>LXXI</w:t>
      </w:r>
      <w:r w:rsidRPr="008E6DD8">
        <w:rPr>
          <w:rFonts w:ascii="Times New Roman" w:hAnsi="Times New Roman"/>
          <w:lang w:eastAsia="hu-HU"/>
        </w:rPr>
        <w:t xml:space="preserve">. törvény 34. § alapján az önkormányzatok működéséhez és az ágazati feladatok ellátásához nyújtott jórészt kötött felhasználású állami juttatások jogcímeit és előirányzatait tartalmazzák. Az előirányzatok az intézmények által ellátott feladatok részbeni forrását teremtik meg, egyúttal biztosítják, hogy a törvényi előírásnak megfelelően feladathoz kapcsolódó támogatások a feladatellátás forrását biztosítsák.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szabályozási változásoknak megfelelően az önkormányzati hivatal működésével kapcsolatos kiadások az intézményi kiadások keretében – a Polgármesteri Hivatal és a Polgármesteri Hivatal Ellátó és Szolgáltató Szervezete előirányzataiban – kerültek megtervezésre.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7.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 rendelet e szakasza egyrészt meghatározza azokat a tartalmi és eljárási szabályokat, amelyeket a céltartalék felhasználása során érvényesíteni kell, másrészt célok szerint csoportosítja és részletezi a tartalékok előirányzatait.</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Az (1) – (3) bekezdések a költségvetési céltartalék megállapításával és felhasználásával kapcsolatos feladatokat és eljárásrendet foglalják össze.</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 (4) – (</w:t>
      </w:r>
      <w:r>
        <w:rPr>
          <w:rFonts w:ascii="Times New Roman" w:hAnsi="Times New Roman"/>
          <w:lang w:eastAsia="hu-HU"/>
        </w:rPr>
        <w:t>8</w:t>
      </w:r>
      <w:r w:rsidRPr="008E6DD8">
        <w:rPr>
          <w:rFonts w:ascii="Times New Roman" w:hAnsi="Times New Roman"/>
          <w:lang w:eastAsia="hu-HU"/>
        </w:rPr>
        <w:t>) bekezdésekben megfogalmazott költségvetési céltartalékok egyes önkormányzati működési és fejlesztési feladatok ellátásához biztosítanak előirányzatokat. A tartalékok felhasználására vonatkozó intézkedés a célok megvalósítására irányuló feltételek teljesítéséhez kötött.</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(4) bekezdésben a „Működési költségvetés céltartaléka” feladataira elkülönített előirányzatok kerültek összefoglalásra.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rPr>
      </w:pPr>
      <w:r w:rsidRPr="008E6DD8">
        <w:rPr>
          <w:rFonts w:ascii="Times New Roman" w:hAnsi="Times New Roman"/>
          <w:lang w:eastAsia="hu-HU"/>
        </w:rPr>
        <w:lastRenderedPageBreak/>
        <w:t>A (</w:t>
      </w:r>
      <w:r>
        <w:rPr>
          <w:rFonts w:ascii="Times New Roman" w:hAnsi="Times New Roman"/>
          <w:lang w:eastAsia="hu-HU"/>
        </w:rPr>
        <w:t>5</w:t>
      </w:r>
      <w:r w:rsidRPr="008E6DD8">
        <w:rPr>
          <w:rFonts w:ascii="Times New Roman" w:hAnsi="Times New Roman"/>
          <w:lang w:eastAsia="hu-HU"/>
        </w:rPr>
        <w:t>) bekezdésben megfogalmazott céltartalék a költségvetési i</w:t>
      </w:r>
      <w:r w:rsidRPr="008E6DD8">
        <w:rPr>
          <w:rFonts w:ascii="Times New Roman" w:hAnsi="Times New Roman"/>
        </w:rPr>
        <w:t>ntézmények feladatellátáshoz kapcsolódik. Ezen belül a rehabilitációs hozzájárulás megfizetéséhez</w:t>
      </w:r>
      <w:r>
        <w:rPr>
          <w:rFonts w:ascii="Times New Roman" w:hAnsi="Times New Roman"/>
        </w:rPr>
        <w:t xml:space="preserve"> biztosított tartalék, melynek felhasználására külön igénylés alapján negyedévente kerülhet sor. </w:t>
      </w:r>
      <w:r w:rsidRPr="008E6DD8">
        <w:rPr>
          <w:rFonts w:ascii="Times New Roman" w:hAnsi="Times New Roman"/>
        </w:rPr>
        <w:t xml:space="preserve"> </w:t>
      </w:r>
    </w:p>
    <w:p w:rsidR="007E3ADB" w:rsidRPr="008E6DD8" w:rsidRDefault="007E3ADB" w:rsidP="007E3ADB">
      <w:pPr>
        <w:spacing w:after="0" w:line="240" w:lineRule="auto"/>
        <w:jc w:val="both"/>
        <w:rPr>
          <w:rFonts w:ascii="Times New Roman" w:hAnsi="Times New Roman"/>
        </w:rPr>
      </w:pPr>
      <w:r w:rsidRPr="008E6DD8">
        <w:rPr>
          <w:rFonts w:ascii="Times New Roman" w:hAnsi="Times New Roman"/>
          <w:bCs/>
        </w:rPr>
        <w:t xml:space="preserve">Az Üres álláshelyek tartaléka előirányzat az intézmények által </w:t>
      </w:r>
      <w:r>
        <w:rPr>
          <w:rFonts w:ascii="Times New Roman" w:hAnsi="Times New Roman"/>
          <w:bCs/>
        </w:rPr>
        <w:t>2020</w:t>
      </w:r>
      <w:r w:rsidRPr="008E6DD8">
        <w:rPr>
          <w:rFonts w:ascii="Times New Roman" w:hAnsi="Times New Roman"/>
          <w:bCs/>
        </w:rPr>
        <w:t xml:space="preserve">. január 1-én betöltetlen álláshelyek bértömegének feleként került meghatározásra, A tartalék felhasználására az intézmények által dokumentált, tényleges kifizetések </w:t>
      </w:r>
      <w:r w:rsidRPr="008E6DD8">
        <w:rPr>
          <w:rFonts w:ascii="Times New Roman" w:hAnsi="Times New Roman"/>
        </w:rPr>
        <w:t>alapján kerülhet sor.</w:t>
      </w:r>
    </w:p>
    <w:p w:rsidR="007E3ADB" w:rsidRPr="008E6DD8" w:rsidRDefault="007E3ADB" w:rsidP="007E3ADB">
      <w:pPr>
        <w:spacing w:after="0" w:line="240" w:lineRule="auto"/>
        <w:jc w:val="both"/>
        <w:rPr>
          <w:rFonts w:ascii="Times New Roman" w:hAnsi="Times New Roman"/>
        </w:rPr>
      </w:pPr>
    </w:p>
    <w:p w:rsidR="007E3ADB" w:rsidRPr="008E6DD8" w:rsidRDefault="007E3ADB" w:rsidP="007E3ADB">
      <w:pPr>
        <w:jc w:val="both"/>
        <w:rPr>
          <w:rFonts w:ascii="Times New Roman" w:hAnsi="Times New Roman"/>
          <w:bCs/>
        </w:rPr>
      </w:pPr>
      <w:r w:rsidRPr="008E6DD8">
        <w:rPr>
          <w:rFonts w:ascii="Times New Roman" w:hAnsi="Times New Roman"/>
          <w:bCs/>
        </w:rPr>
        <w:t>A Szent Tamás Görög Katolikus Általános Iskola működéséhez az önkormányzat az intézménnyel kötött együttműködési megállapodásban foglaltak szerinti járul hozzá.</w:t>
      </w:r>
    </w:p>
    <w:p w:rsidR="007E3ADB" w:rsidRDefault="007E3ADB" w:rsidP="007E3ADB">
      <w:pPr>
        <w:spacing w:after="0" w:line="240" w:lineRule="auto"/>
        <w:jc w:val="both"/>
        <w:rPr>
          <w:rFonts w:ascii="Times New Roman" w:hAnsi="Times New Roman"/>
          <w:bCs/>
        </w:rPr>
      </w:pPr>
      <w:r>
        <w:rPr>
          <w:rFonts w:ascii="Times New Roman" w:hAnsi="Times New Roman"/>
          <w:bCs/>
        </w:rPr>
        <w:t>A</w:t>
      </w:r>
      <w:r w:rsidRPr="00B80113">
        <w:rPr>
          <w:rFonts w:ascii="Times New Roman" w:hAnsi="Times New Roman"/>
          <w:bCs/>
        </w:rPr>
        <w:t xml:space="preserve"> „Gyermekétkeztetési rezsi- és nyersanyagár változása miatti tartalék” az élelmezési rezsi és nyersanyagár változásáról szóló külön Közgyűlési döntés</w:t>
      </w:r>
      <w:r>
        <w:rPr>
          <w:rFonts w:ascii="Times New Roman" w:hAnsi="Times New Roman"/>
          <w:bCs/>
        </w:rPr>
        <w:t xml:space="preserve">t követően használható fel az ezzel kapcsolatos többlet költségek fedezetére. </w:t>
      </w:r>
    </w:p>
    <w:p w:rsidR="007E3ADB" w:rsidRDefault="007E3ADB" w:rsidP="007E3ADB">
      <w:pPr>
        <w:spacing w:after="0" w:line="240" w:lineRule="auto"/>
        <w:jc w:val="both"/>
        <w:rPr>
          <w:rFonts w:ascii="Times New Roman" w:hAnsi="Times New Roman"/>
          <w:lang w:eastAsia="hu-HU"/>
        </w:rPr>
      </w:pPr>
      <w:r>
        <w:rPr>
          <w:rFonts w:ascii="Times New Roman" w:hAnsi="Times New Roman"/>
          <w:bCs/>
        </w:rPr>
        <w:t xml:space="preserve"> </w:t>
      </w: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szakasz (6) bekezdése egyes üzemeltetési, működtetési feladatok ellátására biztosít forrásokat.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 (</w:t>
      </w:r>
      <w:r>
        <w:rPr>
          <w:rFonts w:ascii="Times New Roman" w:hAnsi="Times New Roman"/>
          <w:lang w:eastAsia="hu-HU"/>
        </w:rPr>
        <w:t>7</w:t>
      </w:r>
      <w:r w:rsidRPr="008E6DD8">
        <w:rPr>
          <w:rFonts w:ascii="Times New Roman" w:hAnsi="Times New Roman"/>
          <w:lang w:eastAsia="hu-HU"/>
        </w:rPr>
        <w:t>) bekezdés rögzíti a szünidei étkezés feladatainak biztosítására, valamint a közművelődési intézmények, szervek állománygyarapító pályázatához kapcsolódó önerő fedezetére szolgáló forrásokat.</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„Fejlesztési feladatok céltartaléka” előirányzat az egyes pályázati forrásból megvalósítani tervezett fejlesztések pályázati önrészét, valamint a fejlesztések előkészítését biztosító logisztikai feladatok forrását tartalmazza.  </w:t>
      </w: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Az előirányzat tartalmazza a </w:t>
      </w:r>
      <w:r>
        <w:rPr>
          <w:rFonts w:ascii="Times New Roman" w:hAnsi="Times New Roman"/>
          <w:lang w:eastAsia="hu-HU"/>
        </w:rPr>
        <w:t>Merengő Jézus szobor felújításához szükséges önrész fedezetét</w:t>
      </w:r>
      <w:r w:rsidRPr="008E6DD8">
        <w:rPr>
          <w:rFonts w:ascii="Times New Roman" w:hAnsi="Times New Roman"/>
          <w:lang w:eastAsia="hu-HU"/>
        </w:rPr>
        <w:t xml:space="preserve"> </w:t>
      </w:r>
      <w:r>
        <w:rPr>
          <w:rFonts w:ascii="Times New Roman" w:hAnsi="Times New Roman"/>
          <w:lang w:eastAsia="hu-HU"/>
        </w:rPr>
        <w:t xml:space="preserve">is.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8. §</w:t>
      </w:r>
    </w:p>
    <w:p w:rsidR="007E3ADB" w:rsidRPr="008E6DD8" w:rsidRDefault="007E3ADB" w:rsidP="007E3ADB">
      <w:pPr>
        <w:spacing w:after="0" w:line="240" w:lineRule="auto"/>
        <w:jc w:val="center"/>
        <w:rPr>
          <w:rFonts w:ascii="Times New Roman" w:hAnsi="Times New Roman"/>
          <w:b/>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Az általános tartalék jelzi annak szükségességét, hogy a költségvetési egyensúly megtartása, a gazdálkodás biztonsága kiemelt feladat.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b/>
          <w:lang w:eastAsia="hu-HU"/>
        </w:rPr>
      </w:pPr>
      <w:r w:rsidRPr="008E6DD8">
        <w:rPr>
          <w:rFonts w:ascii="Times New Roman" w:hAnsi="Times New Roman"/>
          <w:lang w:eastAsia="hu-HU"/>
        </w:rPr>
        <w:t>Az előirányzat egyrészt lehetőséget teremt a tervezett bevételek kieséséből származó kompenzációra, másrészt évközben jelentkező újabb feladatok megvalósítására. Fedezet nyújt az év közben esetlegesen igénybevételre kerülő likvid hitel, ill</w:t>
      </w:r>
      <w:r>
        <w:rPr>
          <w:rFonts w:ascii="Times New Roman" w:hAnsi="Times New Roman"/>
          <w:lang w:eastAsia="hu-HU"/>
        </w:rPr>
        <w:t>.</w:t>
      </w:r>
      <w:r w:rsidRPr="008E6DD8">
        <w:rPr>
          <w:rFonts w:ascii="Times New Roman" w:hAnsi="Times New Roman"/>
          <w:lang w:eastAsia="hu-HU"/>
        </w:rPr>
        <w:t xml:space="preserve"> az Áfa finanszírozási hitel kamataira. Az általános tartalék feladata az is, hogy a költségvetésben tervezett feladatok ellátásában elérhető megtakarításokat és az év közben keletkező többletbevételeket összegyűjtse.</w:t>
      </w:r>
    </w:p>
    <w:p w:rsidR="007E3ADB" w:rsidRPr="008E6DD8" w:rsidRDefault="007E3ADB" w:rsidP="007E3ADB">
      <w:pPr>
        <w:spacing w:after="0" w:line="240" w:lineRule="auto"/>
        <w:jc w:val="center"/>
        <w:rPr>
          <w:rFonts w:ascii="Times New Roman" w:hAnsi="Times New Roman"/>
          <w:b/>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9. §</w:t>
      </w:r>
    </w:p>
    <w:p w:rsidR="007E3ADB" w:rsidRPr="008E6DD8" w:rsidRDefault="007E3ADB" w:rsidP="007E3ADB">
      <w:pPr>
        <w:spacing w:after="0" w:line="240" w:lineRule="auto"/>
        <w:jc w:val="center"/>
        <w:rPr>
          <w:rFonts w:ascii="Times New Roman" w:hAnsi="Times New Roman"/>
          <w:b/>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rPr>
        <w:t xml:space="preserve">A nemzeti köznevelésről szóló 2011. évi CXC. törvény szerint a korábban települési önkormányzat által működtetett köznevelési intézmények működtetése a tankerületi központ feladata 2017. január 1-jétől. </w:t>
      </w:r>
      <w:r w:rsidRPr="008E6DD8">
        <w:rPr>
          <w:rFonts w:ascii="Times New Roman" w:hAnsi="Times New Roman"/>
          <w:lang w:eastAsia="hu-HU"/>
        </w:rPr>
        <w:t>Az önkormányzati feladatrendszer fenti módosulását követően Szolnok Megyei Jogú Város Intézményszolgálata továbbra is ellátja a hozzá tartozó (óvodai, bölcsődei) intézmények pénzügyi-gazdasági feladatait a köztük létrejött munkamegosztási megállapodás alapján, valamint az intézmények feladatellátását szolgáló ingó- és ingatlanvagyon működtetését (üzemeltetését, karbantartását) a fenntartóval kötött vagyonkezelési szerződés alapján.</w:t>
      </w:r>
    </w:p>
    <w:p w:rsidR="007E3ADB" w:rsidRPr="008E6DD8" w:rsidRDefault="007E3ADB" w:rsidP="007E3ADB">
      <w:pPr>
        <w:spacing w:after="0" w:line="240" w:lineRule="auto"/>
        <w:jc w:val="both"/>
        <w:rPr>
          <w:rFonts w:ascii="Times New Roman" w:hAnsi="Times New Roman"/>
          <w:bCs/>
          <w:lang w:eastAsia="hu-HU"/>
        </w:rPr>
      </w:pPr>
    </w:p>
    <w:p w:rsidR="007E3ADB" w:rsidRPr="008E6DD8" w:rsidRDefault="007E3ADB" w:rsidP="007E3ADB">
      <w:pPr>
        <w:spacing w:after="0" w:line="240" w:lineRule="auto"/>
        <w:jc w:val="both"/>
        <w:rPr>
          <w:rFonts w:ascii="Times New Roman" w:hAnsi="Times New Roman"/>
          <w:bCs/>
          <w:lang w:eastAsia="hu-HU"/>
        </w:rPr>
      </w:pPr>
      <w:r w:rsidRPr="008E6DD8">
        <w:rPr>
          <w:rFonts w:ascii="Times New Roman" w:hAnsi="Times New Roman"/>
          <w:bCs/>
          <w:lang w:eastAsia="hu-HU"/>
        </w:rPr>
        <w:t>Feladata továbbá Szolnok Megyei Jogú Város Önkormányzata által fenntartott óvodában és a közigazgatási területén a tankerületi központ által fenntartott nevelési-oktatási intézményben az óvodai nevelési napokon, illetve az iskolai tanítási napokon a déli meleg főétkezés és két további étkeztetés biztosítása.</w:t>
      </w:r>
    </w:p>
    <w:p w:rsidR="007E3ADB" w:rsidRPr="008E6DD8" w:rsidRDefault="007E3ADB" w:rsidP="007E3ADB">
      <w:pPr>
        <w:spacing w:after="0" w:line="240" w:lineRule="auto"/>
        <w:jc w:val="both"/>
        <w:rPr>
          <w:rFonts w:ascii="Times New Roman" w:hAnsi="Times New Roman"/>
          <w:bCs/>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gyermekek védelméről és a gyámügyi igazgatásról szóló 1997. évi XXXI. törvény a helyi önkormányzatok feladatává tette a szünidei gyermekétkeztetés biztosítását az arra jogosultak részére. Az Önkormányzat – figyelemmel a 328/2011. (XII.29.) Korm. rendeletben foglaltakra – ezt a feladatot Szolnok Megyei Jogú Város Intézményszolgálata útján biztosítja. </w:t>
      </w:r>
    </w:p>
    <w:p w:rsidR="007E3ADB" w:rsidRPr="008E6DD8" w:rsidRDefault="007E3ADB" w:rsidP="007E3ADB">
      <w:pPr>
        <w:spacing w:after="0" w:line="240" w:lineRule="auto"/>
        <w:jc w:val="center"/>
        <w:rPr>
          <w:rFonts w:ascii="Times New Roman" w:hAnsi="Times New Roman"/>
          <w:b/>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lastRenderedPageBreak/>
        <w:t>10. §</w:t>
      </w:r>
    </w:p>
    <w:p w:rsidR="007E3ADB" w:rsidRPr="008E6DD8" w:rsidRDefault="007E3ADB" w:rsidP="007E3ADB">
      <w:pPr>
        <w:spacing w:after="0" w:line="240" w:lineRule="auto"/>
        <w:jc w:val="both"/>
        <w:rPr>
          <w:rFonts w:ascii="Times New Roman" w:hAnsi="Times New Roman"/>
          <w:color w:val="FF0000"/>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Az (1) – (</w:t>
      </w:r>
      <w:r>
        <w:rPr>
          <w:rFonts w:ascii="Times New Roman" w:hAnsi="Times New Roman"/>
          <w:lang w:eastAsia="hu-HU"/>
        </w:rPr>
        <w:t>6</w:t>
      </w:r>
      <w:r w:rsidRPr="008E6DD8">
        <w:rPr>
          <w:rFonts w:ascii="Times New Roman" w:hAnsi="Times New Roman"/>
          <w:lang w:eastAsia="hu-HU"/>
        </w:rPr>
        <w:t>) bekezdésekben megfogalmazottak az Önkormányzati bizottságok döntési jogkörébe utalt előirányzat-felhasználásokat szabályozzák.</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Annak érdekében, hogy az Önkormányzatnál kezelt feladatok keretében megtervezett előirányzatok felhasználására vonatkozó bizottsági illetékesség egyértelmű legyen, a rendelet 10. § (</w:t>
      </w:r>
      <w:r>
        <w:rPr>
          <w:rFonts w:ascii="Times New Roman" w:hAnsi="Times New Roman"/>
          <w:lang w:eastAsia="hu-HU"/>
        </w:rPr>
        <w:t>2</w:t>
      </w:r>
      <w:r w:rsidRPr="008E6DD8">
        <w:rPr>
          <w:rFonts w:ascii="Times New Roman" w:hAnsi="Times New Roman"/>
          <w:lang w:eastAsia="hu-HU"/>
        </w:rPr>
        <w:t>)</w:t>
      </w:r>
      <w:r>
        <w:rPr>
          <w:rFonts w:ascii="Times New Roman" w:hAnsi="Times New Roman"/>
          <w:lang w:eastAsia="hu-HU"/>
        </w:rPr>
        <w:t xml:space="preserve"> </w:t>
      </w:r>
      <w:r w:rsidRPr="008E6DD8">
        <w:rPr>
          <w:rFonts w:ascii="Times New Roman" w:hAnsi="Times New Roman"/>
          <w:lang w:eastAsia="hu-HU"/>
        </w:rPr>
        <w:t>–</w:t>
      </w:r>
      <w:r>
        <w:rPr>
          <w:rFonts w:ascii="Times New Roman" w:hAnsi="Times New Roman"/>
          <w:lang w:eastAsia="hu-HU"/>
        </w:rPr>
        <w:t xml:space="preserve"> </w:t>
      </w:r>
      <w:r w:rsidRPr="008E6DD8">
        <w:rPr>
          <w:rFonts w:ascii="Times New Roman" w:hAnsi="Times New Roman"/>
          <w:lang w:eastAsia="hu-HU"/>
        </w:rPr>
        <w:t>(</w:t>
      </w:r>
      <w:r>
        <w:rPr>
          <w:rFonts w:ascii="Times New Roman" w:hAnsi="Times New Roman"/>
          <w:lang w:eastAsia="hu-HU"/>
        </w:rPr>
        <w:t>6</w:t>
      </w:r>
      <w:r w:rsidRPr="008E6DD8">
        <w:rPr>
          <w:rFonts w:ascii="Times New Roman" w:hAnsi="Times New Roman"/>
          <w:lang w:eastAsia="hu-HU"/>
        </w:rPr>
        <w:t>) bekezdései felsorolják, és a bizottságokhoz rendelik a költségvetésben tervezett, bizottsági kötelezettségvállalásokkal felhasználható előirányzatokat.</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 szabályozás lényeges eleme az, hogy ha a bizottsági döntés alapítvány támogatásáról szól, akkor a bizottság által hozott döntés előirányzat-felhasználási kezdeményezésnek minősül, melyet a Közgyűlés elé kell terjeszteni. Erre az eljárásra azért van szükség, mert a Közgyűlés döntési jogköréből az alapítványok számára támogatás biztosítása – forrás átadása - másra nem ruházható át (</w:t>
      </w:r>
      <w:r w:rsidRPr="008E6DD8">
        <w:rPr>
          <w:rFonts w:ascii="Times New Roman" w:hAnsi="Times New Roman"/>
          <w:bCs/>
          <w:lang w:eastAsia="hu-HU"/>
        </w:rPr>
        <w:t>Magyarország helyi önkormányzatairól szóló 2011. évi CLXXXIX. törvény 42. § 4. pont).</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b/>
          <w:lang w:eastAsia="hu-HU"/>
        </w:rPr>
      </w:pPr>
      <w:r w:rsidRPr="008E6DD8">
        <w:rPr>
          <w:rFonts w:ascii="Times New Roman" w:hAnsi="Times New Roman"/>
          <w:lang w:eastAsia="hu-HU"/>
        </w:rPr>
        <w:t>A (</w:t>
      </w:r>
      <w:r>
        <w:rPr>
          <w:rFonts w:ascii="Times New Roman" w:hAnsi="Times New Roman"/>
          <w:lang w:eastAsia="hu-HU"/>
        </w:rPr>
        <w:t>7</w:t>
      </w:r>
      <w:r w:rsidRPr="008E6DD8">
        <w:rPr>
          <w:rFonts w:ascii="Times New Roman" w:hAnsi="Times New Roman"/>
          <w:lang w:eastAsia="hu-HU"/>
        </w:rPr>
        <w:t>) – (</w:t>
      </w:r>
      <w:r>
        <w:rPr>
          <w:rFonts w:ascii="Times New Roman" w:hAnsi="Times New Roman"/>
          <w:lang w:eastAsia="hu-HU"/>
        </w:rPr>
        <w:t>8</w:t>
      </w:r>
      <w:r w:rsidRPr="008E6DD8">
        <w:rPr>
          <w:rFonts w:ascii="Times New Roman" w:hAnsi="Times New Roman"/>
          <w:lang w:eastAsia="hu-HU"/>
        </w:rPr>
        <w:t xml:space="preserve">) bekezdésekben előírt szabályozás azt célozza, hogy az önkormányzati támogatás alapvetően és elsősorban annak a célnak a megvalósítását szolgálja, amire a támogatást a döntést hozó biztosította, és ne a különböző adó, vám és egyéb tartozások megfizetéséhez teremtsen forrást. </w:t>
      </w:r>
    </w:p>
    <w:p w:rsidR="007E3ADB" w:rsidRPr="008E6DD8" w:rsidRDefault="007E3ADB" w:rsidP="007E3ADB">
      <w:pPr>
        <w:spacing w:after="0" w:line="240" w:lineRule="auto"/>
        <w:jc w:val="center"/>
        <w:rPr>
          <w:rFonts w:ascii="Times New Roman" w:hAnsi="Times New Roman"/>
          <w:b/>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11.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 11.§ a költségvetési intézmények gazdálkodására vonatkozó szabályokat és előírásokat tartalmazza.</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Az (1) - (2) bekezdésekben megfogalmazottak az Ávr. 7. § tartalmi követelményeit követik. Az elmúlt években bevezetett szabályozás a gazdasági szervezettel való rendelkezés alapján különbözteti meg az intézményeket. A besorolás ennek megfelelően eldönti az előirányzatok feletti felhasználási jogkör gyakorlását is.  </w:t>
      </w:r>
    </w:p>
    <w:p w:rsidR="007E3ADB" w:rsidRPr="008E6DD8" w:rsidRDefault="007E3ADB" w:rsidP="007E3ADB">
      <w:pPr>
        <w:spacing w:after="20" w:line="240" w:lineRule="auto"/>
        <w:jc w:val="both"/>
        <w:rPr>
          <w:rFonts w:ascii="Times New Roman" w:hAnsi="Times New Roman"/>
          <w:lang w:eastAsia="hu-HU"/>
        </w:rPr>
      </w:pPr>
    </w:p>
    <w:p w:rsidR="007E3ADB" w:rsidRPr="008E6DD8" w:rsidRDefault="007E3ADB" w:rsidP="007E3ADB">
      <w:pPr>
        <w:spacing w:after="20" w:line="240" w:lineRule="auto"/>
        <w:jc w:val="both"/>
        <w:rPr>
          <w:rFonts w:ascii="Times" w:hAnsi="Times" w:cs="Times"/>
          <w:szCs w:val="24"/>
        </w:rPr>
      </w:pPr>
      <w:r w:rsidRPr="008E6DD8">
        <w:rPr>
          <w:rFonts w:ascii="Times New Roman" w:hAnsi="Times New Roman"/>
          <w:lang w:eastAsia="hu-HU"/>
        </w:rPr>
        <w:t>Az Ávr. 9. § -a alapján,</w:t>
      </w:r>
      <w:r w:rsidRPr="008E6DD8">
        <w:rPr>
          <w:rFonts w:ascii="Times" w:hAnsi="Times" w:cs="Times"/>
          <w:szCs w:val="24"/>
        </w:rPr>
        <w:t xml:space="preserve"> ha a költségvetési szerv nem rendelkezik gazdasági szervezettel, az irányító szerv köteles egy gazdasági szervezettel rendelkező költségvetési szervet kijelölni, amely a gazdasági szervezettel nem rendelkező költségvetési szerv tekintetében ellátja a gazdálkodási tevékenységet.</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Ennek a szabálynak tesz eleget a (3) és (4) bekezdésében megfogalmazott szabályozás.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Az (5) - (9) bekezdésekben megfogalmazott szabályok a költségvetés stabilitását, a felelős gazdálkodási szemlélet erősítését célozzák.</w:t>
      </w:r>
      <w:r>
        <w:rPr>
          <w:rFonts w:ascii="Times New Roman" w:hAnsi="Times New Roman"/>
          <w:lang w:eastAsia="hu-HU"/>
        </w:rPr>
        <w:t xml:space="preserve"> Az egyre nagyobb kihívást jelentő humánerőforrás gazdálkodás okán 2020-ban a munkaerőmegtartó intézkedések fedezete eredeti előirányzatként kerültek beépítésre az intézmények kiadásai közé.  </w:t>
      </w:r>
      <w:r w:rsidRPr="008E6DD8">
        <w:rPr>
          <w:rFonts w:ascii="Times New Roman" w:hAnsi="Times New Roman"/>
          <w:lang w:eastAsia="hu-HU"/>
        </w:rPr>
        <w:t xml:space="preserve">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 (9) bekezdés az Ávr. előírásain túl további szigorítást tartalmaz a</w:t>
      </w:r>
      <w:r w:rsidRPr="008E6DD8">
        <w:rPr>
          <w:rFonts w:ascii="Times New Roman" w:eastAsia="Calibri" w:hAnsi="Times New Roman"/>
          <w:lang w:eastAsia="hu-HU"/>
        </w:rPr>
        <w:t xml:space="preserve"> személyi juttatások kiemelt előirányzat terhére vállalt kötelezettségek esetében, ugyanis a fedezet rendelkezésre állásáról szóló pénzügyi ellenjegyzést minden esetben kötelezővé teszi.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b/>
          <w:bCs/>
          <w:lang w:eastAsia="hu-HU"/>
        </w:rPr>
      </w:pPr>
      <w:r w:rsidRPr="008E6DD8">
        <w:rPr>
          <w:rFonts w:ascii="Times New Roman" w:hAnsi="Times New Roman"/>
          <w:lang w:eastAsia="hu-HU"/>
        </w:rPr>
        <w:t>A (10) bekezdésben az intézmények által az ellátottak részére biztosított élelmezési feladatokhoz adott önkormányzati támogatás elszámolása kerül szabályozásra. A gyermekélelmezési kiadásokhoz az önkormányzat az intézményi igényeknek megfelelő, az élelmezési rezsi kiadások fedezetét teljeskörűen biztosító támogatást nyújt. A támogatás céljellegű, ezért az elszámolásnak is ennek megfelelően kell történnie.</w:t>
      </w:r>
      <w:r w:rsidRPr="008E6DD8">
        <w:rPr>
          <w:rFonts w:ascii="Times New Roman" w:hAnsi="Times New Roman"/>
          <w:bCs/>
          <w:lang w:eastAsia="hu-HU"/>
        </w:rPr>
        <w:t xml:space="preserve"> A kedvezményes óvodai, iskolai, kollégiumi étkeztetéshez az állam kötött felhasználású támogatást biztosít, melynek felhasználásáról a </w:t>
      </w:r>
      <w:r>
        <w:rPr>
          <w:rFonts w:ascii="Times New Roman" w:hAnsi="Times New Roman"/>
          <w:bCs/>
          <w:lang w:eastAsia="hu-HU"/>
        </w:rPr>
        <w:t>2020</w:t>
      </w:r>
      <w:r w:rsidRPr="008E6DD8">
        <w:rPr>
          <w:rFonts w:ascii="Times New Roman" w:hAnsi="Times New Roman"/>
          <w:bCs/>
          <w:lang w:eastAsia="hu-HU"/>
        </w:rPr>
        <w:t xml:space="preserve">. évi zárási feladatok keretében kell számot adni.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Az (1</w:t>
      </w:r>
      <w:r>
        <w:rPr>
          <w:rFonts w:ascii="Times New Roman" w:hAnsi="Times New Roman"/>
          <w:lang w:eastAsia="hu-HU"/>
        </w:rPr>
        <w:t>1</w:t>
      </w:r>
      <w:r w:rsidRPr="008E6DD8">
        <w:rPr>
          <w:rFonts w:ascii="Times New Roman" w:hAnsi="Times New Roman"/>
          <w:lang w:eastAsia="hu-HU"/>
        </w:rPr>
        <w:t>) – (1</w:t>
      </w:r>
      <w:r>
        <w:rPr>
          <w:rFonts w:ascii="Times New Roman" w:hAnsi="Times New Roman"/>
          <w:lang w:eastAsia="hu-HU"/>
        </w:rPr>
        <w:t>2</w:t>
      </w:r>
      <w:r w:rsidRPr="008E6DD8">
        <w:rPr>
          <w:rFonts w:ascii="Times New Roman" w:hAnsi="Times New Roman"/>
          <w:lang w:eastAsia="hu-HU"/>
        </w:rPr>
        <w:t xml:space="preserve">) bekezdésekben rögzítettek a szabályszerűségi követelmények betartását emelik ki. A gazdálkodási fegyelem érvényesüléséhez nélkülözhetetlen a naprakész, hatályos szabályozásnak </w:t>
      </w:r>
      <w:r w:rsidRPr="008E6DD8">
        <w:rPr>
          <w:rFonts w:ascii="Times New Roman" w:hAnsi="Times New Roman"/>
          <w:lang w:eastAsia="hu-HU"/>
        </w:rPr>
        <w:lastRenderedPageBreak/>
        <w:t>megfelelő intézményi szabályzatok megléte. Ezek aktualizálása a hatékony és takarékos gazdálkodás érdekében elkerülhetetlen.</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Az intézmények előirányzatai az alapító okiratban megfogalmazott közfeladatok ellátásához biztosítanak forrásokat. Amennyiben az intézménynél a tervezetthez képest megtakarítás jelentkezik, és az feladatelmaradásból származik, úgy ennek a megtakarításnak a felhasználására intézményi hatáskörben nem lehetséges.</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 (1</w:t>
      </w:r>
      <w:r>
        <w:rPr>
          <w:rFonts w:ascii="Times New Roman" w:hAnsi="Times New Roman"/>
          <w:lang w:eastAsia="hu-HU"/>
        </w:rPr>
        <w:t>3</w:t>
      </w:r>
      <w:r w:rsidRPr="008E6DD8">
        <w:rPr>
          <w:rFonts w:ascii="Times New Roman" w:hAnsi="Times New Roman"/>
          <w:lang w:eastAsia="hu-HU"/>
        </w:rPr>
        <w:t xml:space="preserve">) bekezdésben az intézményi kiemelt előirányzatok betartását nyomatékosító szabályozás azt a célt szolgálja, hogy az előirányzatokkal érintett területek kiemelt figyelmet kapjanak mind a szakmai, mind a gazdálkodói munkában.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12. §</w:t>
      </w:r>
    </w:p>
    <w:p w:rsidR="007E3ADB" w:rsidRPr="008E6DD8" w:rsidRDefault="007E3ADB" w:rsidP="007E3ADB">
      <w:pPr>
        <w:spacing w:after="0" w:line="240" w:lineRule="auto"/>
        <w:jc w:val="center"/>
        <w:rPr>
          <w:rFonts w:ascii="Times New Roman" w:hAnsi="Times New Roman"/>
          <w:b/>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szakasz rögzíti, hogy a nemzetiségi önkormányzatok támogatása tartalmazza </w:t>
      </w:r>
      <w:r w:rsidRPr="008E6DD8">
        <w:rPr>
          <w:rFonts w:ascii="Times New Roman" w:hAnsi="Times New Roman"/>
          <w:bCs/>
          <w:lang w:eastAsia="hu-HU"/>
        </w:rPr>
        <w:t>a nemzetiségek jogairól szóló 2011. évi CLXXIX. számú törvény 80.§ (1) bekezdésében foglalt feladatellátáshoz kapcsolódó személyi és dologi költségek fedezetét</w:t>
      </w:r>
      <w:r w:rsidRPr="008E6DD8">
        <w:rPr>
          <w:rFonts w:ascii="Times New Roman" w:hAnsi="Times New Roman"/>
          <w:lang w:eastAsia="hu-HU"/>
        </w:rPr>
        <w:t>.</w:t>
      </w:r>
    </w:p>
    <w:p w:rsidR="007E3ADB" w:rsidRPr="008E6DD8" w:rsidRDefault="007E3ADB" w:rsidP="007E3ADB">
      <w:pPr>
        <w:spacing w:after="0" w:line="240" w:lineRule="auto"/>
        <w:jc w:val="center"/>
        <w:rPr>
          <w:rFonts w:ascii="Times New Roman" w:hAnsi="Times New Roman"/>
          <w:b/>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13.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megfogalmazottak arra épülnek, hogy az Áht. 34. § -a előírja a költségvetés módosításával kapcsolatos szabályokat. Az előirányzat módosítás keretében, a teljes körűség biztosítása érdekében, a költségvetési rendelet módosítás előterjesztésekor kell az átruházott hatáskörben hozott döntéseket is a Közgyűlés elé terjeszteni.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vonatkozó jogszabályok és a kialakult gyakorlat alapján célszerű az előirányzat módosításokat legalább negyedévenként testület elé terjeszteni, figyelemmel az önkormányzati költségvetési rendelet utolsó módosításának – az éves költségvetési beszámoló elkészítéséig - határidejére.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Fontos szabály, hogy a (3) bekezdésben megfogalmazott lemondás fogalma alatt, az önkormányzat által kezdeményezett előirányzat csökkentésről van szó, és nem arról, ha év közben az Országgyűlés az Áht. 14. §. (3) bekezdésben meghatározott támogatások előirányzatait zárolja, azokat csökkenti, törli. Ebben az esetben az intézkedés kihirdetését követően haladéktalanul a képviselő-testület elé kell terjeszteni a költségvetési rendelet módosítását.</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(4) bekezdésben megfogalmazottak a számviteli előírások jelentős változásával függnek össze. Az elmúlt években bevezetett szabályozás a költségvetési előirányzati könyvelés jelentőségét kiemelte azáltal, hogy szigorú előírásokat tartalmaz a pénzügyi kötelezettségek, számlák kiegyenlítéséhez. Azon szabály, mely szerint előirányzat nélkül kötelezettség nem vállalható és teljesítés nem könyvelhető, azon szabálynak a vonatkozó számviteli előírások alapján a kiemelt előirányzatok szintjén is érvényesülnie kell. Ez a szabály egyrészt a tervezés - kiemelt előirányzati szintre is kiterjedő – pontosságát és fontosságát is igényli. Másrészt a pénzügyi kötelezettségek, számlák határidőn belüli kiegyenlítéséhez az előirányzat módosítás fontosságát és naprakészségét teszi szükségessé.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Az egy - egy tervezési alapegység előirányzatát meghaladó, de az alcím előirányzatán belül maradó, valamint egy-egy címhez tartozó alcímek közötti kiadás teljesíthetőségét előirányzat módosításhoz köti, ugyanez a helyzet a tervezési alapegységen belül maradó, de a kiemelt előirányzatok közötti eltérések esetén is. Ha az előirányzat módosítás közgyűlési jogkörben marad, akkor havonta egy alkalommal lesz mód az ilyen jellegű, technikai módosítások átvezetésére, majd ezt követően a számlák kiegyenlítésére. Ez a helyzet a jelentős többlet adminisztráció mellett a számlák késedelmes kiegyenlítését is okozhatja. Ezt a helyzetet hidalja át a javasolt felhatalmazás.</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bCs/>
          <w:lang w:eastAsia="hu-HU"/>
        </w:rPr>
        <w:t>Az (5) bekezdésben a vízi közmű szolgáltatásról szóló 2011. évi CCIX. számú törvény 18. § - a értelmében</w:t>
      </w:r>
      <w:r w:rsidRPr="008E6DD8">
        <w:rPr>
          <w:rFonts w:ascii="Times New Roman" w:hAnsi="Times New Roman"/>
          <w:b/>
          <w:bCs/>
          <w:lang w:eastAsia="hu-HU"/>
        </w:rPr>
        <w:t xml:space="preserve"> </w:t>
      </w:r>
      <w:r w:rsidRPr="008E6DD8">
        <w:rPr>
          <w:rFonts w:ascii="Times New Roman" w:hAnsi="Times New Roman"/>
          <w:bCs/>
          <w:lang w:eastAsia="hu-HU"/>
        </w:rPr>
        <w:t>„</w:t>
      </w:r>
      <w:r w:rsidRPr="008E6DD8">
        <w:rPr>
          <w:rFonts w:ascii="Times New Roman" w:hAnsi="Times New Roman"/>
          <w:lang w:eastAsia="hu-HU"/>
        </w:rPr>
        <w:t xml:space="preserve">ha jogszabály vagy az üzemeltetési szerződés a víziközmű-szolgáltatási jog gyakorlását </w:t>
      </w:r>
      <w:r w:rsidRPr="008E6DD8">
        <w:rPr>
          <w:rFonts w:ascii="Times New Roman" w:hAnsi="Times New Roman"/>
          <w:lang w:eastAsia="hu-HU"/>
        </w:rPr>
        <w:lastRenderedPageBreak/>
        <w:t>vagy a vízi-közmű használatát díj (a továbbiakban: használati díj) fizetéséhez köti, az ellátásért felelős az ebből származó bevételét elkülönítetten kezeli, és azt kizárólag víziközmű-fejlesztés finanszírozására használhatja fel.” E törvényi előírásnak megfelelően került szabályozásra a rendeletben a koncessziós díj felhasználása.</w:t>
      </w:r>
    </w:p>
    <w:p w:rsidR="007E3ADB" w:rsidRPr="008E6DD8" w:rsidRDefault="007E3ADB" w:rsidP="007E3ADB">
      <w:pPr>
        <w:spacing w:after="0" w:line="240" w:lineRule="auto"/>
        <w:rPr>
          <w:rFonts w:ascii="Times New Roman" w:hAnsi="Times New Roman"/>
          <w:b/>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14.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Tekintettel arra, hogy a </w:t>
      </w:r>
      <w:r>
        <w:rPr>
          <w:rFonts w:ascii="Times New Roman" w:hAnsi="Times New Roman"/>
          <w:lang w:eastAsia="hu-HU"/>
        </w:rPr>
        <w:t>2020</w:t>
      </w:r>
      <w:r w:rsidRPr="008E6DD8">
        <w:rPr>
          <w:rFonts w:ascii="Times New Roman" w:hAnsi="Times New Roman"/>
          <w:lang w:eastAsia="hu-HU"/>
        </w:rPr>
        <w:t xml:space="preserve">. évi költségvetés </w:t>
      </w:r>
      <w:r>
        <w:rPr>
          <w:rFonts w:ascii="Times New Roman" w:hAnsi="Times New Roman"/>
          <w:lang w:eastAsia="hu-HU"/>
        </w:rPr>
        <w:t>mintegy</w:t>
      </w:r>
      <w:r w:rsidRPr="008E6DD8">
        <w:rPr>
          <w:rFonts w:ascii="Times New Roman" w:hAnsi="Times New Roman"/>
          <w:lang w:eastAsia="hu-HU"/>
        </w:rPr>
        <w:t xml:space="preserve"> 2</w:t>
      </w:r>
      <w:r>
        <w:rPr>
          <w:rFonts w:ascii="Times New Roman" w:hAnsi="Times New Roman"/>
          <w:lang w:eastAsia="hu-HU"/>
        </w:rPr>
        <w:t>2</w:t>
      </w:r>
      <w:r w:rsidRPr="008E6DD8">
        <w:rPr>
          <w:rFonts w:ascii="Times New Roman" w:hAnsi="Times New Roman"/>
          <w:lang w:eastAsia="hu-HU"/>
        </w:rPr>
        <w:t xml:space="preserve"> milliárd Ft összegű fejlesztési feladatot tartalmaz, ezért a költségvetési egyensúly biztosítása érdekében garanciális szabályokat szükséges meghatározni, melyeket a rendelet 14.§ -a tartalmaz.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Az (2) bekezdésben nevesített projekt feladatok ellátására rendelkezésre álló előirányzat tartalmazza az előző évről áthúzódó tervezési, valamint projekt lebonyolítási feladatok kiadásainak elszámolásának fedezetét, valamint az indításra tervezett beruházások koncepciói és engedélyes tervei elkészítésére, a fejlesztések előkészítésére, megvalósítására szolgáló forrásokat. A rendelkezésre álló előirányzat felhasználásakor figyelemmel kell lenni a területi operatív programok kiírására, valamint a megjelent pályázati felhívásokra.</w:t>
      </w:r>
    </w:p>
    <w:p w:rsidR="007E3ADB" w:rsidRDefault="007E3ADB" w:rsidP="007E3ADB">
      <w:pPr>
        <w:pStyle w:val="Nincstrkz"/>
        <w:jc w:val="both"/>
        <w:rPr>
          <w:rFonts w:ascii="Times New Roman" w:hAnsi="Times New Roman"/>
        </w:rPr>
      </w:pPr>
    </w:p>
    <w:p w:rsidR="007E3ADB" w:rsidRDefault="007E3ADB" w:rsidP="007E3ADB">
      <w:pPr>
        <w:pStyle w:val="Nincstrkz"/>
        <w:jc w:val="both"/>
        <w:rPr>
          <w:rFonts w:ascii="Times New Roman" w:hAnsi="Times New Roman"/>
        </w:rPr>
      </w:pPr>
      <w:r>
        <w:rPr>
          <w:rFonts w:ascii="Times New Roman" w:hAnsi="Times New Roman"/>
        </w:rPr>
        <w:t xml:space="preserve">A Közgyűlés a </w:t>
      </w:r>
      <w:r w:rsidRPr="000E5BFF">
        <w:rPr>
          <w:rFonts w:ascii="Times New Roman" w:hAnsi="Times New Roman"/>
        </w:rPr>
        <w:t>206/2019. (VIII.22.) számú közgyűlési határozatban</w:t>
      </w:r>
      <w:r>
        <w:rPr>
          <w:rFonts w:ascii="Times New Roman" w:hAnsi="Times New Roman"/>
        </w:rPr>
        <w:t xml:space="preserve"> döntött a</w:t>
      </w:r>
      <w:r w:rsidRPr="000E5BFF">
        <w:rPr>
          <w:rFonts w:ascii="Times New Roman" w:hAnsi="Times New Roman"/>
        </w:rPr>
        <w:t xml:space="preserve"> 2020-2024. közötti időszakra vonatkozó, egyes parkolók járdák helyi közutak, kerékpárutak rekonstrukcióját, fejlesztését tartalmazó program elfogadásáról</w:t>
      </w:r>
      <w:r>
        <w:rPr>
          <w:rFonts w:ascii="Times New Roman" w:hAnsi="Times New Roman"/>
        </w:rPr>
        <w:t xml:space="preserve">. A határozat értelmében a mindenkori költségvetési egyensúly megtartása mellett kell forrást biztosítani a program tárgyévi végrehajtásához. A (3) bekezdésben hivatkozott tervezési forrás biztosítja a program közgyűlési döntés szerinti szakszerű végrehajtását azzal, hogy az előkészítéshez, tervezéshez biztosít forrást. Az elkészült tervek, ill. a kapcsolódó árazott költségvetés mellett lehet meghozni a döntést a konkrét fejlesztés megvalósításáról. </w:t>
      </w:r>
    </w:p>
    <w:p w:rsidR="007E3ADB" w:rsidRPr="008E6DD8" w:rsidRDefault="007E3ADB" w:rsidP="007E3ADB">
      <w:pPr>
        <w:pStyle w:val="Nincstrkz"/>
        <w:jc w:val="both"/>
        <w:rPr>
          <w:rFonts w:ascii="Times New Roman" w:hAnsi="Times New Roman"/>
        </w:rPr>
      </w:pPr>
    </w:p>
    <w:p w:rsidR="007E3ADB" w:rsidRPr="008E6DD8" w:rsidRDefault="007E3ADB" w:rsidP="007E3ADB">
      <w:pPr>
        <w:pStyle w:val="Nincstrkz"/>
        <w:jc w:val="both"/>
        <w:rPr>
          <w:rFonts w:ascii="Times New Roman" w:hAnsi="Times New Roman"/>
        </w:rPr>
      </w:pPr>
      <w:r w:rsidRPr="008E6DD8">
        <w:rPr>
          <w:rFonts w:ascii="Times New Roman" w:hAnsi="Times New Roman"/>
        </w:rPr>
        <w:t>A (</w:t>
      </w:r>
      <w:r>
        <w:rPr>
          <w:rFonts w:ascii="Times New Roman" w:hAnsi="Times New Roman"/>
        </w:rPr>
        <w:t>4</w:t>
      </w:r>
      <w:r w:rsidRPr="008E6DD8">
        <w:rPr>
          <w:rFonts w:ascii="Times New Roman" w:hAnsi="Times New Roman"/>
        </w:rPr>
        <w:t xml:space="preserve">) bekezdés a költségvetési hiány csökkentésére irányuló szabályt tartalmaz, azzal, hogy előírja, hogy </w:t>
      </w:r>
      <w:r w:rsidRPr="008E6DD8">
        <w:rPr>
          <w:rFonts w:ascii="Times New Roman" w:hAnsi="Times New Roman"/>
          <w:lang w:eastAsia="hu-HU"/>
        </w:rPr>
        <w:t>az indításra tervezett beruházások</w:t>
      </w:r>
      <w:r w:rsidRPr="008E6DD8">
        <w:rPr>
          <w:rFonts w:ascii="Times New Roman" w:hAnsi="Times New Roman"/>
        </w:rPr>
        <w:t xml:space="preserve"> előkészítésére megelőlegezett forrásokat a projektek elszámolható költségelemeinek részévé kell tenni, amennyiben az érintett pályázati felhívás arra lehetőséget ad. </w:t>
      </w:r>
    </w:p>
    <w:p w:rsidR="007E3ADB" w:rsidRPr="008E6DD8" w:rsidRDefault="007E3ADB" w:rsidP="007E3ADB">
      <w:pPr>
        <w:pStyle w:val="Nincstrkz"/>
        <w:jc w:val="both"/>
        <w:rPr>
          <w:rFonts w:ascii="Times New Roman" w:hAnsi="Times New Roman"/>
        </w:rPr>
      </w:pPr>
    </w:p>
    <w:p w:rsidR="007E3ADB" w:rsidRPr="008E6DD8" w:rsidRDefault="007E3ADB" w:rsidP="007E3ADB">
      <w:pPr>
        <w:pStyle w:val="Nincstrkz"/>
        <w:jc w:val="both"/>
        <w:rPr>
          <w:rFonts w:ascii="Times New Roman" w:hAnsi="Times New Roman"/>
        </w:rPr>
      </w:pPr>
      <w:r w:rsidRPr="008E6DD8">
        <w:rPr>
          <w:rFonts w:ascii="Times New Roman" w:hAnsi="Times New Roman"/>
        </w:rPr>
        <w:t xml:space="preserve">A </w:t>
      </w:r>
      <w:r>
        <w:rPr>
          <w:rFonts w:ascii="Times New Roman" w:hAnsi="Times New Roman"/>
        </w:rPr>
        <w:t>2020</w:t>
      </w:r>
      <w:r w:rsidRPr="008E6DD8">
        <w:rPr>
          <w:rFonts w:ascii="Times New Roman" w:hAnsi="Times New Roman"/>
        </w:rPr>
        <w:t xml:space="preserve">. évben megvalósítani tervezett fejlesztéseket </w:t>
      </w:r>
      <w:r>
        <w:rPr>
          <w:rFonts w:ascii="Times New Roman" w:hAnsi="Times New Roman"/>
        </w:rPr>
        <w:t>mintegy</w:t>
      </w:r>
      <w:r w:rsidRPr="008E6DD8">
        <w:rPr>
          <w:rFonts w:ascii="Times New Roman" w:hAnsi="Times New Roman"/>
        </w:rPr>
        <w:t xml:space="preserve"> </w:t>
      </w:r>
      <w:r>
        <w:rPr>
          <w:rFonts w:ascii="Times New Roman" w:hAnsi="Times New Roman"/>
        </w:rPr>
        <w:t>3</w:t>
      </w:r>
      <w:r w:rsidRPr="008E6DD8">
        <w:rPr>
          <w:rFonts w:ascii="Times New Roman" w:hAnsi="Times New Roman"/>
        </w:rPr>
        <w:t>,</w:t>
      </w:r>
      <w:r>
        <w:rPr>
          <w:rFonts w:ascii="Times New Roman" w:hAnsi="Times New Roman"/>
        </w:rPr>
        <w:t>2</w:t>
      </w:r>
      <w:r w:rsidRPr="008E6DD8">
        <w:rPr>
          <w:rFonts w:ascii="Times New Roman" w:hAnsi="Times New Roman"/>
        </w:rPr>
        <w:t xml:space="preserve"> milliárd Ft összegű Áfa finanszírozza. Mindezek okán az ún. Áfa visszaigénylő projektek esetében az Áfa éven belüli visszaigénylése a költségvetési egyensúly biztosítása érdekében kulcs fontosságú. Ennek érvényre juttatására tartalmaznak nagyon fontos garanciális szabályokat az (</w:t>
      </w:r>
      <w:r>
        <w:rPr>
          <w:rFonts w:ascii="Times New Roman" w:hAnsi="Times New Roman"/>
        </w:rPr>
        <w:t>5</w:t>
      </w:r>
      <w:r w:rsidRPr="008E6DD8">
        <w:rPr>
          <w:rFonts w:ascii="Times New Roman" w:hAnsi="Times New Roman"/>
        </w:rPr>
        <w:t>-</w:t>
      </w:r>
      <w:r>
        <w:rPr>
          <w:rFonts w:ascii="Times New Roman" w:hAnsi="Times New Roman"/>
        </w:rPr>
        <w:t>5</w:t>
      </w:r>
      <w:r w:rsidRPr="008E6DD8">
        <w:rPr>
          <w:rFonts w:ascii="Times New Roman" w:hAnsi="Times New Roman"/>
        </w:rPr>
        <w:t xml:space="preserve">a) bekezdések a számlák befogadhatósága vonatkozásában. A rendelet által meghatározott szabályokat a vonatkozó közbeszerzési eljárásokban a közbeszerzési dokumentáció részéve kell tenni. </w:t>
      </w:r>
    </w:p>
    <w:p w:rsidR="007E3ADB" w:rsidRPr="008E6DD8" w:rsidRDefault="007E3ADB" w:rsidP="007E3ADB">
      <w:pPr>
        <w:pStyle w:val="Nincstrkz"/>
        <w:jc w:val="both"/>
        <w:rPr>
          <w:rFonts w:ascii="Times New Roman" w:hAnsi="Times New Roman"/>
        </w:rPr>
      </w:pPr>
      <w:r w:rsidRPr="008E6DD8">
        <w:rPr>
          <w:rFonts w:ascii="Times New Roman" w:hAnsi="Times New Roman"/>
        </w:rPr>
        <w:t xml:space="preserve">Az Áfa visszaigénylése szempontjából másik kulcsfontosságú tényező, hogy legkésőbb a kiviteli szerződés megkötéséig szükséges megkötni az Áfa levonását megalapozó bérleti – használati – üzemeltetési szerződést.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Tekintettel arra, hogy egyes beruházások határidőben történő befejezéséhez kiemelt önkormányzati érdek fűződik, ezért egyes</w:t>
      </w:r>
      <w:r>
        <w:rPr>
          <w:rFonts w:ascii="Times New Roman" w:hAnsi="Times New Roman"/>
          <w:lang w:eastAsia="hu-HU"/>
        </w:rPr>
        <w:t xml:space="preserve"> </w:t>
      </w:r>
      <w:r w:rsidRPr="008E6DD8">
        <w:rPr>
          <w:rFonts w:ascii="Times New Roman" w:hAnsi="Times New Roman"/>
          <w:lang w:eastAsia="hu-HU"/>
        </w:rPr>
        <w:t>esetekben az (</w:t>
      </w:r>
      <w:r>
        <w:rPr>
          <w:rFonts w:ascii="Times New Roman" w:hAnsi="Times New Roman"/>
          <w:lang w:eastAsia="hu-HU"/>
        </w:rPr>
        <w:t>5</w:t>
      </w:r>
      <w:r w:rsidRPr="008E6DD8">
        <w:rPr>
          <w:rFonts w:ascii="Times New Roman" w:hAnsi="Times New Roman"/>
          <w:lang w:eastAsia="hu-HU"/>
        </w:rPr>
        <w:t>) bekezdésben rögzítettektől eltérést kell engedni. Ennek feltételeit rögzíti az (</w:t>
      </w:r>
      <w:r>
        <w:rPr>
          <w:rFonts w:ascii="Times New Roman" w:hAnsi="Times New Roman"/>
          <w:lang w:eastAsia="hu-HU"/>
        </w:rPr>
        <w:t>5</w:t>
      </w:r>
      <w:r w:rsidRPr="008E6DD8">
        <w:rPr>
          <w:rFonts w:ascii="Times New Roman" w:hAnsi="Times New Roman"/>
          <w:lang w:eastAsia="hu-HU"/>
        </w:rPr>
        <w:t xml:space="preserve">b) bekezdés. </w:t>
      </w: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 </w:t>
      </w: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 (</w:t>
      </w:r>
      <w:r>
        <w:rPr>
          <w:rFonts w:ascii="Times New Roman" w:hAnsi="Times New Roman"/>
          <w:lang w:eastAsia="hu-HU"/>
        </w:rPr>
        <w:t>6</w:t>
      </w:r>
      <w:r w:rsidRPr="008E6DD8">
        <w:rPr>
          <w:rFonts w:ascii="Times New Roman" w:hAnsi="Times New Roman"/>
          <w:lang w:eastAsia="hu-HU"/>
        </w:rPr>
        <w:t xml:space="preserve">) bekezdés a költségvetés beruházási feladataihoz kapcsolódó bevételek kiesése, vagy az üzemeltetési feladatok ellátásának bizonytalanná válása miatt, a tervezett fejlesztések megvalósítására vonatkozó eljárást határozza meg. A pénzügyi egyensúly megőrzésének érdekében kiemelt jelentőséget kapott az üzemeltetési fenntartási feladatok pénzügyi forrásának kérdése. Az üzemeltetési többletköltséget okozó fejlesztések esetében külön vizsgálni kell a forrás megteremthetőségét és hosszabb távon történő biztosítását.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 (</w:t>
      </w:r>
      <w:r>
        <w:rPr>
          <w:rFonts w:ascii="Times New Roman" w:hAnsi="Times New Roman"/>
          <w:lang w:eastAsia="hu-HU"/>
        </w:rPr>
        <w:t>7</w:t>
      </w:r>
      <w:r w:rsidRPr="008E6DD8">
        <w:rPr>
          <w:rFonts w:ascii="Times New Roman" w:hAnsi="Times New Roman"/>
          <w:lang w:eastAsia="hu-HU"/>
        </w:rPr>
        <w:t xml:space="preserve">) bekezdés az indításra tervezett fejlesztési feladatok esetén a kivitelezésre vonatkozó közbeszerzési eljárás megindítását az üzemeltetési koncepció Közgyűlés általi elfogadásának feltételévé teszi, annak költség vonzatával és forrásoldalával együtt. </w:t>
      </w:r>
    </w:p>
    <w:p w:rsidR="007E3ADB" w:rsidRPr="008E6DD8" w:rsidRDefault="007E3ADB" w:rsidP="007E3ADB">
      <w:pPr>
        <w:spacing w:after="0" w:line="240" w:lineRule="auto"/>
        <w:jc w:val="both"/>
        <w:rPr>
          <w:rFonts w:ascii="Times New Roman" w:hAnsi="Times New Roman"/>
          <w:b/>
          <w:lang w:eastAsia="hu-HU"/>
        </w:rPr>
      </w:pPr>
    </w:p>
    <w:p w:rsidR="007E3ADB" w:rsidRPr="008E6DD8" w:rsidRDefault="007E3ADB" w:rsidP="007E3ADB">
      <w:pPr>
        <w:spacing w:after="0" w:line="240" w:lineRule="auto"/>
        <w:jc w:val="both"/>
        <w:rPr>
          <w:rFonts w:ascii="Times New Roman" w:hAnsi="Times New Roman"/>
          <w:b/>
          <w:lang w:eastAsia="hu-HU"/>
        </w:rPr>
      </w:pPr>
    </w:p>
    <w:p w:rsidR="007E3ADB" w:rsidRPr="008E6DD8" w:rsidRDefault="007E3ADB" w:rsidP="007E3ADB">
      <w:pPr>
        <w:spacing w:after="0" w:line="240" w:lineRule="auto"/>
        <w:jc w:val="both"/>
        <w:rPr>
          <w:rFonts w:ascii="Times New Roman" w:hAnsi="Times New Roman"/>
          <w:b/>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15.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Az (1) bekezdésben megfogalmazott szabály a működési költségvetést finanszírozó bevételek kiesése miatti eljárást határozza meg. A szabályok azt célozzák, hogy a gazdasági folyamatok tervezettől eltérő alakulása esetén arról a Közgyűlés tudomást szerezzen és a helyzet ismeretében a szükséges döntést meghozza.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 (2) bekezdésekben foglaltak alkalmazása a tervezett előirányzatokat meghaladó vagy azzá váló kiadások, azaz a fedezetlen kötelezettségvállalások keletkezését akadályozza meg. Az év közben jelentkező, nem tervezett szükségletek kielégítésére nincs mód, a tervezett előirányzatot meghaladó kiadás nem teljesíthető.</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(3) bekezdésben foglaltak a </w:t>
      </w:r>
      <w:r>
        <w:rPr>
          <w:rFonts w:ascii="Times New Roman" w:hAnsi="Times New Roman"/>
          <w:lang w:eastAsia="hu-HU"/>
        </w:rPr>
        <w:t>2020</w:t>
      </w:r>
      <w:r w:rsidRPr="008E6DD8">
        <w:rPr>
          <w:rFonts w:ascii="Times New Roman" w:hAnsi="Times New Roman"/>
          <w:lang w:eastAsia="hu-HU"/>
        </w:rPr>
        <w:t xml:space="preserve">. évi költségvetés általános tartalékának megteremtését szolgálják. A szabályozás a költségvetésben elfogadott bevételi előirányzatok feletti, illetve kiadási előirányzatok alatti teljesítése esetén a többletek, és a megtakarítások általános tartalékként történő kezelését határozza meg.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Az (4) bekezdés az átmenetileg szabad pénzeszközök felhasználására tartalmaz felhatalmazást a polgármester részére a gazdálkodás biztonságának elvét szem előtt tartva.   </w:t>
      </w:r>
    </w:p>
    <w:p w:rsidR="007E3ADB" w:rsidRPr="008E6DD8" w:rsidRDefault="007E3ADB" w:rsidP="007E3ADB">
      <w:pPr>
        <w:spacing w:after="0" w:line="240" w:lineRule="auto"/>
        <w:jc w:val="both"/>
        <w:rPr>
          <w:rFonts w:ascii="Times New Roman" w:hAnsi="Times New Roman"/>
          <w:b/>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16.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b/>
          <w:lang w:eastAsia="hu-HU"/>
        </w:rPr>
      </w:pPr>
      <w:r w:rsidRPr="008E6DD8">
        <w:rPr>
          <w:rFonts w:ascii="Times New Roman" w:hAnsi="Times New Roman"/>
          <w:lang w:eastAsia="hu-HU"/>
        </w:rPr>
        <w:t>A gazdálkodási folyamatok megítélésének fontos eszköze az ellenőrzés. A költségvetési szervek és kizárólagos önkormányzati tulajdonú gazdasági társaságok ellenőrzési és belső ellenőrzési feladatainak rendszerét, követelményeit az elmúlt évben a jogi szabályozás tovább erősítette. A bekezdésekben megfogalmazottak, az alkalmazott gyakorlatot erősítik, és a szabályok nyomatékos érvényesítésére hívják fel a figyelmet.</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17. §</w:t>
      </w:r>
    </w:p>
    <w:p w:rsidR="007E3ADB" w:rsidRPr="008E6DD8" w:rsidRDefault="007E3ADB" w:rsidP="007E3ADB">
      <w:pPr>
        <w:spacing w:after="0" w:line="240" w:lineRule="auto"/>
        <w:jc w:val="center"/>
        <w:rPr>
          <w:rFonts w:ascii="Times New Roman" w:hAnsi="Times New Roman"/>
          <w:b/>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 szakasz az Önkormányzat gazdasági típusú döntéseinek kialakításában érvényesítendő szempontot határozza meg. Ennek alapján a tulajdonosi minőségben tett, az Önkormányzat költségvetését érintő döntések nem korlátozhatják a költségvetésben előirányzott feladatok teljesítését.</w:t>
      </w:r>
    </w:p>
    <w:p w:rsidR="007E3ADB" w:rsidRPr="008E6DD8" w:rsidRDefault="007E3ADB" w:rsidP="007E3ADB">
      <w:pPr>
        <w:spacing w:after="0" w:line="240" w:lineRule="auto"/>
        <w:jc w:val="both"/>
        <w:rPr>
          <w:rFonts w:ascii="Times New Roman" w:hAnsi="Times New Roman"/>
          <w:b/>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18. §</w:t>
      </w:r>
    </w:p>
    <w:p w:rsidR="007E3ADB" w:rsidRPr="008E6DD8" w:rsidRDefault="007E3ADB" w:rsidP="007E3ADB">
      <w:pPr>
        <w:spacing w:after="0" w:line="240" w:lineRule="auto"/>
        <w:jc w:val="center"/>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Az (1) bekezdés az Áht. 71. § (1) bekezdésére alapozottan határozza meg azokat a feltételeket, amikor az önkormányzati biztos kirendelése szükséges.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 szabályozás összefügg az önkormányzati finanszírozási rendszer alkalmazásával. Ebben a finanszírozási rendszerben határidőn túli intézményi tartozások nem lehetnek. Ha mégis keletkezik tartozás, akkor az a gazdálkodási szabályok megsértésére, a pénzügyi és számviteli rend be nem tartására utal. Ilyen esetekben az okok kivizsgálása és a felelősség megállapítása nem tűr halasztást.</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 (2) bekezdés fontos szabályt tartalmaz és egyben az önkormányzati biztos kijelölési eljárás megelőzését is szolgálja azáltal, hogy a költségvetési intézmények vezetői részére jelzési kötelezettséget ír elő arra az esetre, ha az intézmény gazdálkodásában a tartozás állomány meghaladja az (1) bekezdésben foglalt határérték 50%-át.</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19.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lastRenderedPageBreak/>
        <w:t xml:space="preserve">Az Adósságkezelési Komplex Program megállapításáról szóló 144/2011. (V.26.) számú közgyűlési határozatban elfogadott elveken és irányokon alapuló döntések végrehajtása az elmúlt években jelentős eredményt hozott. A közfeladatok hatékonyságát javító költségtakarékos megoldások elősegítették az önkormányzat konszolidációs céljai elérését, a költségvetés stabilitásának megteremtését.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cs="Century Gothic"/>
          <w:lang w:eastAsia="hu-HU"/>
        </w:rPr>
      </w:pPr>
      <w:r w:rsidRPr="008E6DD8">
        <w:rPr>
          <w:rFonts w:ascii="Times New Roman" w:hAnsi="Times New Roman"/>
          <w:lang w:eastAsia="hu-HU"/>
        </w:rPr>
        <w:t>Az éves költségvetés végrehajtása során szükséges a hatékony és takarékos gazdálkodási szemlélet érvényesítése. A megváltozott önkormányzati feladat és finanszírozási rendszer kiemelt odafigyelést igényel a költségvetésben tervezett feladatok megvalósításában. Fokozottan és ösztönzötten szükséges ezért a takarékos, gazdaságos intézményi működés biztosítása, a jó gyakorlatok és megoldások bevezetése és elterjesztése a gazdálkodásban.</w:t>
      </w:r>
      <w:r w:rsidRPr="008E6DD8">
        <w:rPr>
          <w:rFonts w:ascii="Times New Roman" w:hAnsi="Times New Roman" w:cs="Century Gothic"/>
          <w:lang w:eastAsia="hu-HU"/>
        </w:rPr>
        <w:t xml:space="preserve">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szabályozás kiterjed a kizárólagos önkormányzati tulajdonban álló gazdasági társaságokra is. </w:t>
      </w:r>
    </w:p>
    <w:p w:rsidR="007E3ADB" w:rsidRDefault="007E3ADB" w:rsidP="007E3ADB">
      <w:pPr>
        <w:spacing w:after="0" w:line="240" w:lineRule="auto"/>
        <w:jc w:val="both"/>
        <w:rPr>
          <w:rFonts w:ascii="Times New Roman" w:hAnsi="Times New Roman"/>
          <w:lang w:eastAsia="hu-HU"/>
        </w:rPr>
      </w:pPr>
    </w:p>
    <w:p w:rsidR="007E3ADB" w:rsidRPr="00266359" w:rsidRDefault="007E3ADB" w:rsidP="007E3ADB">
      <w:pPr>
        <w:pStyle w:val="Default"/>
        <w:jc w:val="both"/>
        <w:rPr>
          <w:sz w:val="22"/>
          <w:szCs w:val="22"/>
        </w:rPr>
      </w:pPr>
      <w:r w:rsidRPr="00266359">
        <w:rPr>
          <w:sz w:val="22"/>
          <w:szCs w:val="22"/>
          <w:lang w:eastAsia="hu-HU"/>
        </w:rPr>
        <w:t>A (2) bekezdés a Szolnoki Szigligeti Színház Nonprofit Kft</w:t>
      </w:r>
      <w:r>
        <w:rPr>
          <w:sz w:val="22"/>
          <w:szCs w:val="22"/>
          <w:lang w:eastAsia="hu-HU"/>
        </w:rPr>
        <w:t>.</w:t>
      </w:r>
      <w:r w:rsidRPr="00266359">
        <w:rPr>
          <w:sz w:val="22"/>
          <w:szCs w:val="22"/>
          <w:lang w:eastAsia="hu-HU"/>
        </w:rPr>
        <w:t xml:space="preserve"> 2020. évi önkormányzati támogatásának megállapítására vonatkozó rendelkezéseket tartalmaz. Az</w:t>
      </w:r>
      <w:r w:rsidRPr="00266359">
        <w:rPr>
          <w:sz w:val="22"/>
          <w:szCs w:val="22"/>
        </w:rPr>
        <w:t xml:space="preserve"> előadó-művészeti szervezetek támogatásáról és sajátos foglalkoztatási szabályairól szóló 2008. évi XCIX. törvény 16. §-a szerint az önkormányzati fenntartású színház működtetéséhez szükséges forrásokat az önkormányzat saját költségvetéséből biztosítja. Ha az önkormányzat az önkormányzati fenntartású színház részére a működéshez szükséges forrásokat teljeskörűen nem biztosítja, az önkormányzat a Kormányhoz közös működtetésre irányuló kérelmet terjeszthet elő, melyről a Kormány határozatban dönt. Ennek közzétételétől számított 30 napon belül a miniszter és az önkormányzat megállapodást köt, amelyben meghatározzák a színház közös működtetésének részletes szabályait, valamint rögzítik a központi költségvetési és az önkormányzati támogatás mértékét. </w:t>
      </w:r>
    </w:p>
    <w:p w:rsidR="007E3ADB" w:rsidRPr="00A740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Annak érdekében, hogy pontos információ álljon rendelkezésre az önkormányzati tulajdonú gazdasági társaságok pénzügyi-gazdasági helyzetéről, ezért a (</w:t>
      </w:r>
      <w:r>
        <w:rPr>
          <w:rFonts w:ascii="Times New Roman" w:hAnsi="Times New Roman"/>
          <w:lang w:eastAsia="hu-HU"/>
        </w:rPr>
        <w:t>3</w:t>
      </w:r>
      <w:r w:rsidRPr="008E6DD8">
        <w:rPr>
          <w:rFonts w:ascii="Times New Roman" w:hAnsi="Times New Roman"/>
          <w:lang w:eastAsia="hu-HU"/>
        </w:rPr>
        <w:t xml:space="preserve">) bekezdés előírja, hogy </w:t>
      </w:r>
      <w:r w:rsidRPr="008E6DD8">
        <w:rPr>
          <w:rFonts w:ascii="Times New Roman" w:hAnsi="Times New Roman"/>
          <w:bCs/>
          <w:lang w:eastAsia="hu-HU"/>
        </w:rPr>
        <w:t>az üzleti tervben foglaltak teljesüléséről, a kiadásaik és bevételeik alakulásáról havonta információt kötelesek szolgáltatni a Polgármester részére.</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bCs/>
          <w:lang w:eastAsia="hu-HU"/>
        </w:rPr>
        <w:t>A takarékos gazdálkodás elősegítése érdekében a (</w:t>
      </w:r>
      <w:r>
        <w:rPr>
          <w:rFonts w:ascii="Times New Roman" w:hAnsi="Times New Roman"/>
          <w:bCs/>
          <w:lang w:eastAsia="hu-HU"/>
        </w:rPr>
        <w:t>4</w:t>
      </w:r>
      <w:r w:rsidRPr="008E6DD8">
        <w:rPr>
          <w:rFonts w:ascii="Times New Roman" w:hAnsi="Times New Roman"/>
          <w:bCs/>
          <w:lang w:eastAsia="hu-HU"/>
        </w:rPr>
        <w:t xml:space="preserve">) bekezdés tartalékképzési kötelezettséget ír elő az - önkormányzati támogatásban részesülő – önkormányzati tulajdonú gazdasági társaságok részére. Ennek értelmében kötelesek az éves önkormányzati támogatás 3%-ának megfelelő tartalékot képezni elsősorban fejlesztési feladatokra, beszerzések megvalósítására. </w:t>
      </w:r>
      <w:r>
        <w:rPr>
          <w:rFonts w:ascii="Times New Roman" w:hAnsi="Times New Roman"/>
          <w:bCs/>
          <w:lang w:eastAsia="hu-HU"/>
        </w:rPr>
        <w:t xml:space="preserve">Kivételt képeznek a tartalékképzési kötelezettség alól a 232/2019. (IX.26.) számú közgyűlési határozat szerinti, úgynevezett sport feladatok támogatására biztosított források. </w:t>
      </w:r>
      <w:r w:rsidRPr="008E6DD8">
        <w:rPr>
          <w:rFonts w:ascii="Times New Roman" w:hAnsi="Times New Roman"/>
          <w:bCs/>
          <w:lang w:eastAsia="hu-HU"/>
        </w:rPr>
        <w:t xml:space="preserve">A bekezdés tartalmazza </w:t>
      </w:r>
      <w:r>
        <w:rPr>
          <w:rFonts w:ascii="Times New Roman" w:hAnsi="Times New Roman"/>
          <w:bCs/>
          <w:lang w:eastAsia="hu-HU"/>
        </w:rPr>
        <w:t xml:space="preserve">ezen túl </w:t>
      </w:r>
      <w:r w:rsidRPr="008E6DD8">
        <w:rPr>
          <w:rFonts w:ascii="Times New Roman" w:hAnsi="Times New Roman"/>
          <w:bCs/>
          <w:lang w:eastAsia="hu-HU"/>
        </w:rPr>
        <w:t>a tartalék felhasználására vonatkozó hatásköri szabályokat és eljárásrendet.</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20. §</w:t>
      </w:r>
    </w:p>
    <w:p w:rsidR="007E3ADB" w:rsidRPr="008E6DD8" w:rsidRDefault="007E3ADB" w:rsidP="007E3ADB">
      <w:pPr>
        <w:spacing w:after="0" w:line="240" w:lineRule="auto"/>
        <w:jc w:val="both"/>
        <w:rPr>
          <w:rFonts w:ascii="Times New Roman" w:hAnsi="Times New Roman"/>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20. § rendelkezései a </w:t>
      </w:r>
      <w:r>
        <w:rPr>
          <w:rFonts w:ascii="Times New Roman" w:hAnsi="Times New Roman"/>
          <w:lang w:eastAsia="hu-HU"/>
        </w:rPr>
        <w:t>2020</w:t>
      </w:r>
      <w:r w:rsidRPr="008E6DD8">
        <w:rPr>
          <w:rFonts w:ascii="Times New Roman" w:hAnsi="Times New Roman"/>
          <w:lang w:eastAsia="hu-HU"/>
        </w:rPr>
        <w:t>. évi költségvetés végrehajtásával összefüggő, a tervezett feladatok végrehajtásával kapcsolatos szabályok alkalmazását biztosítják. Rendelkeznek a költségvetés teljesítésről történő beszámolásról.</w:t>
      </w:r>
    </w:p>
    <w:p w:rsidR="007E3ADB" w:rsidRPr="008E6DD8" w:rsidRDefault="007E3ADB" w:rsidP="007E3ADB">
      <w:pPr>
        <w:spacing w:after="0" w:line="240" w:lineRule="auto"/>
        <w:jc w:val="both"/>
        <w:rPr>
          <w:rFonts w:ascii="Times New Roman" w:hAnsi="Times New Roman"/>
          <w:bCs/>
          <w:u w:val="single"/>
          <w:lang w:eastAsia="hu-HU"/>
        </w:rPr>
      </w:pPr>
    </w:p>
    <w:p w:rsidR="007E3ADB" w:rsidRPr="008E6DD8" w:rsidRDefault="007E3ADB" w:rsidP="007E3ADB">
      <w:pPr>
        <w:spacing w:after="0" w:line="240" w:lineRule="auto"/>
        <w:jc w:val="both"/>
        <w:rPr>
          <w:rFonts w:ascii="Times New Roman" w:hAnsi="Times New Roman"/>
          <w:lang w:eastAsia="hu-HU"/>
        </w:rPr>
      </w:pPr>
      <w:r w:rsidRPr="008E6DD8">
        <w:rPr>
          <w:rFonts w:ascii="Times New Roman" w:hAnsi="Times New Roman"/>
          <w:bCs/>
          <w:lang w:eastAsia="hu-HU"/>
        </w:rPr>
        <w:t>A (2) bekezdésben megfogalmazottak azt a</w:t>
      </w:r>
      <w:r w:rsidRPr="008E6DD8">
        <w:rPr>
          <w:rFonts w:ascii="Times New Roman" w:hAnsi="Times New Roman"/>
          <w:lang w:eastAsia="hu-HU"/>
        </w:rPr>
        <w:t xml:space="preserve"> célt szolgálják, hogy a hivatkozott jogszabály által biztosított felhatalmazással - az étkeztetés, szünidei étkeztetés biztosítására kötelezett önkormányzat e feladatának ellátásához a közigazgatási területén kívülről érkező gyermek, tanuló lakóhelye szerinti önkormányzattól hozzájárulást kérhet, - az önkormányzat nem kíván élni.     </w:t>
      </w:r>
    </w:p>
    <w:p w:rsidR="007E3ADB" w:rsidRPr="008E6DD8" w:rsidRDefault="007E3ADB" w:rsidP="007E3ADB">
      <w:pPr>
        <w:spacing w:after="20"/>
        <w:jc w:val="both"/>
        <w:rPr>
          <w:rFonts w:ascii="Times New Roman" w:hAnsi="Times New Roman"/>
          <w:bCs/>
          <w:szCs w:val="24"/>
        </w:rPr>
      </w:pPr>
    </w:p>
    <w:p w:rsidR="007E3ADB" w:rsidRDefault="007E3ADB" w:rsidP="007E3ADB">
      <w:pPr>
        <w:spacing w:after="20"/>
        <w:jc w:val="both"/>
        <w:rPr>
          <w:rFonts w:ascii="Times New Roman" w:hAnsi="Times New Roman"/>
          <w:bCs/>
          <w:szCs w:val="24"/>
        </w:rPr>
      </w:pPr>
      <w:r>
        <w:rPr>
          <w:rFonts w:ascii="Times New Roman" w:hAnsi="Times New Roman"/>
          <w:bCs/>
          <w:szCs w:val="24"/>
        </w:rPr>
        <w:t xml:space="preserve">A (3) bekezdés a Volánbusz Zrt. felé fennálló tartozás rendezésére vonatkozó eljárásrendet határozza meg. </w:t>
      </w:r>
    </w:p>
    <w:p w:rsidR="007E3ADB" w:rsidRDefault="007E3ADB" w:rsidP="007E3ADB">
      <w:pPr>
        <w:spacing w:after="20"/>
        <w:jc w:val="both"/>
        <w:rPr>
          <w:rFonts w:ascii="Times New Roman" w:hAnsi="Times New Roman"/>
          <w:bCs/>
          <w:szCs w:val="24"/>
        </w:rPr>
      </w:pPr>
    </w:p>
    <w:p w:rsidR="007E3ADB" w:rsidRPr="008E6DD8" w:rsidRDefault="007E3ADB" w:rsidP="007E3ADB">
      <w:pPr>
        <w:spacing w:after="20"/>
        <w:jc w:val="both"/>
        <w:rPr>
          <w:rFonts w:ascii="Times New Roman" w:hAnsi="Times New Roman"/>
          <w:bCs/>
          <w:szCs w:val="24"/>
        </w:rPr>
      </w:pPr>
      <w:r w:rsidRPr="008E6DD8">
        <w:rPr>
          <w:rFonts w:ascii="Times New Roman" w:hAnsi="Times New Roman"/>
          <w:bCs/>
          <w:szCs w:val="24"/>
        </w:rPr>
        <w:t>A (</w:t>
      </w:r>
      <w:r>
        <w:rPr>
          <w:rFonts w:ascii="Times New Roman" w:hAnsi="Times New Roman"/>
          <w:bCs/>
          <w:szCs w:val="24"/>
        </w:rPr>
        <w:t>4</w:t>
      </w:r>
      <w:r w:rsidRPr="008E6DD8">
        <w:rPr>
          <w:rFonts w:ascii="Times New Roman" w:hAnsi="Times New Roman"/>
          <w:bCs/>
          <w:szCs w:val="24"/>
        </w:rPr>
        <w:t xml:space="preserve">a) bekezdés a Polgármester részére átruházott jogkörre vonatkozó beszámolási kötelezettséget szabályozza. </w:t>
      </w:r>
    </w:p>
    <w:p w:rsidR="007E3ADB" w:rsidRPr="008E6DD8" w:rsidRDefault="007E3ADB" w:rsidP="007E3ADB">
      <w:pPr>
        <w:spacing w:after="20"/>
        <w:jc w:val="both"/>
        <w:rPr>
          <w:rFonts w:ascii="Times New Roman" w:hAnsi="Times New Roman"/>
          <w:bCs/>
          <w:sz w:val="24"/>
          <w:szCs w:val="24"/>
        </w:rPr>
      </w:pPr>
      <w:r w:rsidRPr="008E6DD8">
        <w:rPr>
          <w:rFonts w:ascii="Times New Roman" w:hAnsi="Times New Roman"/>
          <w:bCs/>
          <w:sz w:val="24"/>
          <w:szCs w:val="24"/>
        </w:rPr>
        <w:t xml:space="preserve"> </w:t>
      </w:r>
    </w:p>
    <w:p w:rsidR="007E3ADB" w:rsidRPr="008E6DD8" w:rsidRDefault="007E3ADB" w:rsidP="007E3ADB">
      <w:pPr>
        <w:spacing w:after="20" w:line="240" w:lineRule="auto"/>
        <w:jc w:val="both"/>
        <w:rPr>
          <w:rFonts w:ascii="Times New Roman" w:hAnsi="Times New Roman"/>
        </w:rPr>
      </w:pPr>
      <w:r w:rsidRPr="008E6DD8">
        <w:rPr>
          <w:rFonts w:ascii="Times New Roman" w:hAnsi="Times New Roman"/>
          <w:bCs/>
        </w:rPr>
        <w:lastRenderedPageBreak/>
        <w:t>Az (</w:t>
      </w:r>
      <w:r>
        <w:rPr>
          <w:rFonts w:ascii="Times New Roman" w:hAnsi="Times New Roman"/>
          <w:bCs/>
        </w:rPr>
        <w:t>6</w:t>
      </w:r>
      <w:r w:rsidRPr="008E6DD8">
        <w:rPr>
          <w:rFonts w:ascii="Times New Roman" w:hAnsi="Times New Roman"/>
          <w:bCs/>
        </w:rPr>
        <w:t xml:space="preserve">) bekezdés az Áht. 27. § (4) bekezdésében megfogalmazottakon alapul, melynek értelmében a </w:t>
      </w:r>
      <w:r w:rsidRPr="008E6DD8">
        <w:rPr>
          <w:rFonts w:ascii="Times" w:hAnsi="Times" w:cs="Times"/>
          <w:bCs/>
        </w:rPr>
        <w:t>társulás bevételeivel és kiadásaival kapcsolatban a tervezési, gazdálkodási, ellenőrzési, finanszírozási, adatszolgáltatási és beszámolási feladatok ellátásáról a társulási tanács munkaszervezeti feladatait ellátó költségvetési szerv gondoskodik.</w:t>
      </w:r>
      <w:r w:rsidRPr="008E6DD8">
        <w:rPr>
          <w:rFonts w:ascii="Times New Roman" w:hAnsi="Times New Roman"/>
        </w:rPr>
        <w:t xml:space="preserve"> </w:t>
      </w:r>
    </w:p>
    <w:p w:rsidR="007E3ADB" w:rsidRPr="008E6DD8" w:rsidRDefault="007E3ADB" w:rsidP="007E3ADB">
      <w:pPr>
        <w:spacing w:after="20" w:line="240" w:lineRule="auto"/>
        <w:jc w:val="both"/>
        <w:rPr>
          <w:rFonts w:ascii="Times New Roman" w:hAnsi="Times New Roman"/>
        </w:rPr>
      </w:pPr>
    </w:p>
    <w:p w:rsidR="007E3ADB" w:rsidRPr="008E6DD8" w:rsidRDefault="007E3ADB" w:rsidP="007E3ADB">
      <w:pPr>
        <w:spacing w:after="20" w:line="240" w:lineRule="auto"/>
        <w:jc w:val="both"/>
        <w:rPr>
          <w:rFonts w:ascii="Times" w:hAnsi="Times" w:cs="Times"/>
          <w:szCs w:val="24"/>
        </w:rPr>
      </w:pPr>
      <w:r w:rsidRPr="008E6DD8">
        <w:rPr>
          <w:rFonts w:ascii="Times New Roman" w:hAnsi="Times New Roman"/>
        </w:rPr>
        <w:t>A társulás munkaszervezeti feladatait - a Szolnoki Kistérségi Többcélú Társulása</w:t>
      </w:r>
      <w:r>
        <w:rPr>
          <w:rFonts w:ascii="Times New Roman" w:hAnsi="Times New Roman"/>
        </w:rPr>
        <w:t>,</w:t>
      </w:r>
      <w:r w:rsidRPr="008E6DD8">
        <w:rPr>
          <w:rFonts w:ascii="Times New Roman" w:hAnsi="Times New Roman"/>
        </w:rPr>
        <w:t xml:space="preserve"> valamint Szolnok Megyei Jogú Város Polgármesteri Hivatala között létrejött megállapodás alapján - Szolnok Megyei Jogú Város Polgármesteri Hivatala látja el.</w:t>
      </w:r>
      <w:r w:rsidRPr="008E6DD8">
        <w:rPr>
          <w:rFonts w:ascii="Times" w:hAnsi="Times" w:cs="Times"/>
          <w:szCs w:val="24"/>
        </w:rPr>
        <w:t xml:space="preserve"> Ennek alapján figyelemmel a számviteli változásokra a kistérségi feladatellátáshoz igényelt állami támogatást a Magyar Államkincstár a szolnoki előirányzatok között szerepelteti. </w:t>
      </w:r>
    </w:p>
    <w:p w:rsidR="007E3ADB" w:rsidRPr="008E6DD8" w:rsidRDefault="007E3ADB" w:rsidP="007E3ADB">
      <w:pPr>
        <w:spacing w:after="20" w:line="240" w:lineRule="auto"/>
        <w:jc w:val="both"/>
        <w:rPr>
          <w:rFonts w:ascii="Times New Roman" w:hAnsi="Times New Roman"/>
          <w:szCs w:val="24"/>
        </w:rPr>
      </w:pPr>
    </w:p>
    <w:p w:rsidR="007E3ADB" w:rsidRPr="008E6DD8" w:rsidRDefault="007E3ADB" w:rsidP="007E3ADB">
      <w:pPr>
        <w:spacing w:after="20" w:line="240" w:lineRule="auto"/>
        <w:jc w:val="both"/>
        <w:rPr>
          <w:rFonts w:ascii="Times New Roman" w:hAnsi="Times New Roman"/>
          <w:szCs w:val="24"/>
        </w:rPr>
      </w:pPr>
      <w:r w:rsidRPr="008E6DD8">
        <w:rPr>
          <w:rFonts w:ascii="Times New Roman" w:hAnsi="Times New Roman"/>
          <w:szCs w:val="24"/>
        </w:rPr>
        <w:t>Az előirányzatok felhasználásáról a Társulási Tanács jogosult dönteni az elemi költségvetést elfogadó határozatával.</w:t>
      </w:r>
    </w:p>
    <w:p w:rsidR="007E3ADB" w:rsidRPr="008E6DD8" w:rsidRDefault="007E3ADB" w:rsidP="007E3ADB">
      <w:pPr>
        <w:spacing w:after="0" w:line="240" w:lineRule="auto"/>
        <w:jc w:val="center"/>
        <w:rPr>
          <w:rFonts w:ascii="Times New Roman" w:hAnsi="Times New Roman"/>
          <w:b/>
          <w:lang w:eastAsia="hu-HU"/>
        </w:rPr>
      </w:pPr>
    </w:p>
    <w:p w:rsidR="007E3ADB" w:rsidRPr="008E6DD8" w:rsidRDefault="007E3ADB" w:rsidP="007E3ADB">
      <w:pPr>
        <w:spacing w:after="0" w:line="240" w:lineRule="auto"/>
        <w:jc w:val="center"/>
        <w:rPr>
          <w:rFonts w:ascii="Times New Roman" w:hAnsi="Times New Roman"/>
          <w:b/>
          <w:lang w:eastAsia="hu-HU"/>
        </w:rPr>
      </w:pPr>
      <w:r w:rsidRPr="008E6DD8">
        <w:rPr>
          <w:rFonts w:ascii="Times New Roman" w:hAnsi="Times New Roman"/>
          <w:b/>
          <w:lang w:eastAsia="hu-HU"/>
        </w:rPr>
        <w:t>21. §</w:t>
      </w:r>
    </w:p>
    <w:p w:rsidR="007E3ADB" w:rsidRPr="008E6DD8" w:rsidRDefault="007E3ADB" w:rsidP="007E3ADB">
      <w:pPr>
        <w:spacing w:after="0" w:line="240" w:lineRule="auto"/>
        <w:rPr>
          <w:rFonts w:ascii="Times New Roman" w:hAnsi="Times New Roman"/>
          <w:b/>
          <w:lang w:eastAsia="hu-HU"/>
        </w:rPr>
      </w:pPr>
    </w:p>
    <w:p w:rsidR="007E3ADB" w:rsidRPr="00B80113" w:rsidRDefault="007E3ADB" w:rsidP="007E3ADB">
      <w:pPr>
        <w:spacing w:after="0" w:line="240" w:lineRule="auto"/>
        <w:jc w:val="both"/>
        <w:rPr>
          <w:rFonts w:ascii="Times New Roman" w:hAnsi="Times New Roman"/>
          <w:lang w:eastAsia="hu-HU"/>
        </w:rPr>
      </w:pPr>
      <w:r w:rsidRPr="008E6DD8">
        <w:rPr>
          <w:rFonts w:ascii="Times New Roman" w:hAnsi="Times New Roman"/>
          <w:lang w:eastAsia="hu-HU"/>
        </w:rPr>
        <w:t xml:space="preserve">A záró, hatályba léptető rendelkezések a </w:t>
      </w:r>
      <w:r>
        <w:rPr>
          <w:rFonts w:ascii="Times New Roman" w:hAnsi="Times New Roman"/>
          <w:lang w:eastAsia="hu-HU"/>
        </w:rPr>
        <w:t>2020</w:t>
      </w:r>
      <w:r w:rsidRPr="008E6DD8">
        <w:rPr>
          <w:rFonts w:ascii="Times New Roman" w:hAnsi="Times New Roman"/>
          <w:lang w:eastAsia="hu-HU"/>
        </w:rPr>
        <w:t>. évi költségvetés hatálybalépésére vonatkozó általános és különös szabályokat tartalmazzák.</w:t>
      </w:r>
    </w:p>
    <w:p w:rsidR="007E3ADB" w:rsidRPr="00B80113" w:rsidRDefault="007E3ADB" w:rsidP="007E3ADB">
      <w:pPr>
        <w:spacing w:after="0" w:line="240" w:lineRule="auto"/>
        <w:jc w:val="both"/>
        <w:rPr>
          <w:rFonts w:ascii="Times New Roman" w:hAnsi="Times New Roman"/>
          <w:szCs w:val="24"/>
          <w:lang w:eastAsia="hu-HU"/>
        </w:rPr>
      </w:pPr>
    </w:p>
    <w:p w:rsidR="007E3ADB" w:rsidRPr="00B80113" w:rsidRDefault="007E3ADB" w:rsidP="007E3ADB">
      <w:pPr>
        <w:spacing w:after="0" w:line="240" w:lineRule="auto"/>
        <w:jc w:val="both"/>
        <w:rPr>
          <w:rFonts w:ascii="Times New Roman" w:hAnsi="Times New Roman"/>
          <w:szCs w:val="24"/>
          <w:lang w:eastAsia="hu-HU"/>
        </w:rPr>
      </w:pPr>
    </w:p>
    <w:p w:rsidR="007E3ADB" w:rsidRPr="00264E9D" w:rsidRDefault="007E3ADB" w:rsidP="007E3ADB">
      <w:pPr>
        <w:spacing w:after="0" w:line="240" w:lineRule="auto"/>
        <w:jc w:val="both"/>
        <w:rPr>
          <w:rFonts w:ascii="Century Gothic" w:hAnsi="Century Gothic" w:cs="Century Gothic"/>
          <w:sz w:val="24"/>
          <w:szCs w:val="24"/>
          <w:lang w:eastAsia="hu-HU"/>
        </w:rPr>
      </w:pPr>
    </w:p>
    <w:p w:rsidR="007E3ADB" w:rsidRPr="00264E9D" w:rsidRDefault="007E3ADB" w:rsidP="007E3ADB">
      <w:pPr>
        <w:spacing w:after="0" w:line="240" w:lineRule="auto"/>
        <w:jc w:val="both"/>
        <w:rPr>
          <w:rFonts w:ascii="Century Gothic" w:hAnsi="Century Gothic" w:cs="Century Gothic"/>
          <w:sz w:val="24"/>
          <w:szCs w:val="24"/>
          <w:lang w:eastAsia="hu-HU"/>
        </w:rPr>
      </w:pPr>
    </w:p>
    <w:p w:rsidR="007E3ADB" w:rsidRPr="00264E9D" w:rsidRDefault="007E3ADB" w:rsidP="007E3ADB">
      <w:pPr>
        <w:spacing w:after="0" w:line="240" w:lineRule="auto"/>
        <w:jc w:val="both"/>
        <w:rPr>
          <w:rFonts w:ascii="Century Gothic" w:hAnsi="Century Gothic" w:cs="Century Gothic"/>
          <w:sz w:val="24"/>
          <w:szCs w:val="24"/>
          <w:lang w:eastAsia="hu-HU"/>
        </w:rPr>
      </w:pPr>
    </w:p>
    <w:p w:rsidR="007E3ADB" w:rsidRDefault="007E3ADB" w:rsidP="007E3ADB"/>
    <w:p w:rsidR="007E3ADB" w:rsidRDefault="007E3ADB" w:rsidP="007E3ADB">
      <w:pPr>
        <w:spacing w:after="0" w:line="240" w:lineRule="auto"/>
        <w:jc w:val="both"/>
      </w:pPr>
    </w:p>
    <w:p w:rsidR="007E3ADB" w:rsidRDefault="007E3ADB" w:rsidP="007E3ADB">
      <w:pPr>
        <w:spacing w:after="0" w:line="240" w:lineRule="auto"/>
      </w:pPr>
    </w:p>
    <w:p w:rsidR="007E3ADB" w:rsidRDefault="007E3ADB" w:rsidP="007E3ADB">
      <w:pPr>
        <w:spacing w:after="0" w:line="240" w:lineRule="auto"/>
      </w:pPr>
    </w:p>
    <w:p w:rsidR="006002B3" w:rsidRDefault="006002B3">
      <w:bookmarkStart w:id="0" w:name="_GoBack"/>
      <w:bookmarkEnd w:id="0"/>
    </w:p>
    <w:sectPr w:rsidR="006002B3" w:rsidSect="00CA327B">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ADB" w:rsidRDefault="007E3ADB" w:rsidP="007E3ADB">
      <w:pPr>
        <w:spacing w:after="0" w:line="240" w:lineRule="auto"/>
      </w:pPr>
      <w:r>
        <w:separator/>
      </w:r>
    </w:p>
  </w:endnote>
  <w:endnote w:type="continuationSeparator" w:id="0">
    <w:p w:rsidR="007E3ADB" w:rsidRDefault="007E3ADB" w:rsidP="007E3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ADB" w:rsidRDefault="007E3ADB" w:rsidP="007E3ADB">
      <w:pPr>
        <w:spacing w:after="0" w:line="240" w:lineRule="auto"/>
      </w:pPr>
      <w:r>
        <w:separator/>
      </w:r>
    </w:p>
  </w:footnote>
  <w:footnote w:type="continuationSeparator" w:id="0">
    <w:p w:rsidR="007E3ADB" w:rsidRDefault="007E3ADB" w:rsidP="007E3ADB">
      <w:pPr>
        <w:spacing w:after="0" w:line="240" w:lineRule="auto"/>
      </w:pPr>
      <w:r>
        <w:continuationSeparator/>
      </w:r>
    </w:p>
  </w:footnote>
  <w:footnote w:id="1">
    <w:p w:rsidR="007E3ADB" w:rsidRDefault="007E3ADB" w:rsidP="007E3ADB">
      <w:pPr>
        <w:pStyle w:val="Lbjegyzetszveg"/>
      </w:pPr>
      <w:r>
        <w:rPr>
          <w:rStyle w:val="Lbjegyzet-hivatkozs"/>
        </w:rPr>
        <w:footnoteRef/>
      </w:r>
      <w:r>
        <w:t xml:space="preserve"> 2011. évi CXCV. törvény az államháztartásról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B4" w:rsidRDefault="007E3ADB" w:rsidP="005A4E43">
    <w:pPr>
      <w:pStyle w:val="lfej"/>
      <w:rPr>
        <w:rFonts w:ascii="Times New Roman" w:hAnsi="Times New Roman" w:cs="Times New Roman"/>
        <w:sz w:val="22"/>
        <w:szCs w:val="22"/>
      </w:rPr>
    </w:pPr>
  </w:p>
  <w:p w:rsidR="005E32DB" w:rsidRPr="00CA327B" w:rsidRDefault="007E3ADB" w:rsidP="005A4E43">
    <w:pPr>
      <w:pStyle w:val="lfej"/>
      <w:rPr>
        <w:rFonts w:ascii="Times New Roman" w:hAnsi="Times New Roman" w:cs="Times New Roman"/>
        <w:sz w:val="22"/>
        <w:szCs w:val="22"/>
      </w:rPr>
    </w:pPr>
  </w:p>
  <w:p w:rsidR="002B31B4" w:rsidRDefault="007E3ADB">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DB"/>
    <w:rsid w:val="00017AC9"/>
    <w:rsid w:val="00041373"/>
    <w:rsid w:val="00060BB5"/>
    <w:rsid w:val="0007045C"/>
    <w:rsid w:val="000E74A4"/>
    <w:rsid w:val="00114D43"/>
    <w:rsid w:val="0012249E"/>
    <w:rsid w:val="001570D9"/>
    <w:rsid w:val="001621F1"/>
    <w:rsid w:val="001B06FA"/>
    <w:rsid w:val="001F56A5"/>
    <w:rsid w:val="00223D62"/>
    <w:rsid w:val="00227224"/>
    <w:rsid w:val="00231566"/>
    <w:rsid w:val="00242643"/>
    <w:rsid w:val="0024340F"/>
    <w:rsid w:val="002850EE"/>
    <w:rsid w:val="002A0D97"/>
    <w:rsid w:val="002C3432"/>
    <w:rsid w:val="002C4B0D"/>
    <w:rsid w:val="002E3402"/>
    <w:rsid w:val="002F4441"/>
    <w:rsid w:val="003075F1"/>
    <w:rsid w:val="0033357F"/>
    <w:rsid w:val="00395C0F"/>
    <w:rsid w:val="003A2F1A"/>
    <w:rsid w:val="004246E3"/>
    <w:rsid w:val="00470C47"/>
    <w:rsid w:val="00480EFC"/>
    <w:rsid w:val="00496EB6"/>
    <w:rsid w:val="004974BC"/>
    <w:rsid w:val="004D2039"/>
    <w:rsid w:val="0050566D"/>
    <w:rsid w:val="005136FA"/>
    <w:rsid w:val="00523542"/>
    <w:rsid w:val="005419BF"/>
    <w:rsid w:val="00565ACB"/>
    <w:rsid w:val="00585CE0"/>
    <w:rsid w:val="005C0FE4"/>
    <w:rsid w:val="006002B3"/>
    <w:rsid w:val="00605655"/>
    <w:rsid w:val="00630C6E"/>
    <w:rsid w:val="00633D86"/>
    <w:rsid w:val="00642781"/>
    <w:rsid w:val="006868B0"/>
    <w:rsid w:val="006B068F"/>
    <w:rsid w:val="006C6C40"/>
    <w:rsid w:val="006E6C85"/>
    <w:rsid w:val="00714968"/>
    <w:rsid w:val="007172B8"/>
    <w:rsid w:val="00743C64"/>
    <w:rsid w:val="007502F8"/>
    <w:rsid w:val="00764B19"/>
    <w:rsid w:val="00764F2F"/>
    <w:rsid w:val="007E3ADB"/>
    <w:rsid w:val="008177D8"/>
    <w:rsid w:val="0082569A"/>
    <w:rsid w:val="00842305"/>
    <w:rsid w:val="00845F61"/>
    <w:rsid w:val="008539FC"/>
    <w:rsid w:val="0087481B"/>
    <w:rsid w:val="008C5CBE"/>
    <w:rsid w:val="008E1A9F"/>
    <w:rsid w:val="008E5AF9"/>
    <w:rsid w:val="008F2C9D"/>
    <w:rsid w:val="0090270C"/>
    <w:rsid w:val="00935DA5"/>
    <w:rsid w:val="00973A74"/>
    <w:rsid w:val="00991130"/>
    <w:rsid w:val="009B4B39"/>
    <w:rsid w:val="009B6B99"/>
    <w:rsid w:val="009D5602"/>
    <w:rsid w:val="009E17C9"/>
    <w:rsid w:val="009F2130"/>
    <w:rsid w:val="00A15B64"/>
    <w:rsid w:val="00A3380C"/>
    <w:rsid w:val="00A76967"/>
    <w:rsid w:val="00A9497E"/>
    <w:rsid w:val="00AD3B2C"/>
    <w:rsid w:val="00AE3795"/>
    <w:rsid w:val="00B04C8A"/>
    <w:rsid w:val="00B11E00"/>
    <w:rsid w:val="00B17F38"/>
    <w:rsid w:val="00B42EA9"/>
    <w:rsid w:val="00B54CF4"/>
    <w:rsid w:val="00B701E9"/>
    <w:rsid w:val="00BB2DD6"/>
    <w:rsid w:val="00BD6D6E"/>
    <w:rsid w:val="00C04CEB"/>
    <w:rsid w:val="00C2025A"/>
    <w:rsid w:val="00C2345D"/>
    <w:rsid w:val="00C50D60"/>
    <w:rsid w:val="00C57AA2"/>
    <w:rsid w:val="00C813AF"/>
    <w:rsid w:val="00CE20F2"/>
    <w:rsid w:val="00CE7AED"/>
    <w:rsid w:val="00D02893"/>
    <w:rsid w:val="00D544BA"/>
    <w:rsid w:val="00D65DFA"/>
    <w:rsid w:val="00DC4306"/>
    <w:rsid w:val="00DF7E88"/>
    <w:rsid w:val="00E3154F"/>
    <w:rsid w:val="00E61D89"/>
    <w:rsid w:val="00E6387E"/>
    <w:rsid w:val="00E70DD8"/>
    <w:rsid w:val="00E96EC8"/>
    <w:rsid w:val="00EC4A84"/>
    <w:rsid w:val="00EF0009"/>
    <w:rsid w:val="00F01E47"/>
    <w:rsid w:val="00F67DF7"/>
    <w:rsid w:val="00FB5C1C"/>
    <w:rsid w:val="00FB5C20"/>
    <w:rsid w:val="00FD345F"/>
    <w:rsid w:val="00FE28E2"/>
    <w:rsid w:val="00FF07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073E4D1-7842-4885-9126-4E6AA087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E3ADB"/>
    <w:rPr>
      <w:rFonts w:ascii="Calibri" w:eastAsia="Times New Roman"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7E3ADB"/>
    <w:pPr>
      <w:tabs>
        <w:tab w:val="center" w:pos="4536"/>
        <w:tab w:val="right" w:pos="9072"/>
      </w:tabs>
      <w:spacing w:after="0" w:line="240" w:lineRule="auto"/>
    </w:pPr>
    <w:rPr>
      <w:rFonts w:ascii="Century Gothic" w:eastAsia="Calibri" w:hAnsi="Century Gothic" w:cs="Century Gothic"/>
      <w:sz w:val="24"/>
      <w:szCs w:val="24"/>
      <w:lang w:eastAsia="hu-HU"/>
    </w:rPr>
  </w:style>
  <w:style w:type="character" w:customStyle="1" w:styleId="lfejChar">
    <w:name w:val="Élőfej Char"/>
    <w:basedOn w:val="Bekezdsalapbettpusa"/>
    <w:link w:val="lfej"/>
    <w:rsid w:val="007E3ADB"/>
    <w:rPr>
      <w:rFonts w:ascii="Century Gothic" w:eastAsia="Calibri" w:hAnsi="Century Gothic" w:cs="Century Gothic"/>
      <w:sz w:val="24"/>
      <w:szCs w:val="24"/>
      <w:lang w:eastAsia="hu-HU"/>
    </w:rPr>
  </w:style>
  <w:style w:type="paragraph" w:styleId="Lbjegyzetszveg">
    <w:name w:val="footnote text"/>
    <w:basedOn w:val="Norml"/>
    <w:link w:val="LbjegyzetszvegChar"/>
    <w:semiHidden/>
    <w:rsid w:val="007E3ADB"/>
    <w:pPr>
      <w:spacing w:after="0" w:line="240" w:lineRule="auto"/>
    </w:pPr>
    <w:rPr>
      <w:rFonts w:ascii="Times New Roman" w:eastAsia="Calibri" w:hAnsi="Times New Roman"/>
      <w:sz w:val="20"/>
      <w:szCs w:val="20"/>
      <w:lang w:eastAsia="hu-HU"/>
    </w:rPr>
  </w:style>
  <w:style w:type="character" w:customStyle="1" w:styleId="LbjegyzetszvegChar">
    <w:name w:val="Lábjegyzetszöveg Char"/>
    <w:basedOn w:val="Bekezdsalapbettpusa"/>
    <w:link w:val="Lbjegyzetszveg"/>
    <w:semiHidden/>
    <w:rsid w:val="007E3ADB"/>
    <w:rPr>
      <w:rFonts w:ascii="Times New Roman" w:eastAsia="Calibri" w:hAnsi="Times New Roman" w:cs="Times New Roman"/>
      <w:sz w:val="20"/>
      <w:szCs w:val="20"/>
      <w:lang w:eastAsia="hu-HU"/>
    </w:rPr>
  </w:style>
  <w:style w:type="character" w:styleId="Lbjegyzet-hivatkozs">
    <w:name w:val="footnote reference"/>
    <w:semiHidden/>
    <w:rsid w:val="007E3ADB"/>
    <w:rPr>
      <w:rFonts w:cs="Times New Roman"/>
      <w:vertAlign w:val="superscript"/>
    </w:rPr>
  </w:style>
  <w:style w:type="paragraph" w:styleId="Nincstrkz">
    <w:name w:val="No Spacing"/>
    <w:link w:val="NincstrkzChar"/>
    <w:uiPriority w:val="99"/>
    <w:qFormat/>
    <w:rsid w:val="007E3ADB"/>
    <w:pPr>
      <w:spacing w:after="0" w:line="240" w:lineRule="auto"/>
    </w:pPr>
    <w:rPr>
      <w:rFonts w:ascii="Calibri" w:eastAsia="Times New Roman" w:hAnsi="Calibri" w:cs="Times New Roman"/>
    </w:rPr>
  </w:style>
  <w:style w:type="character" w:customStyle="1" w:styleId="NincstrkzChar">
    <w:name w:val="Nincs térköz Char"/>
    <w:link w:val="Nincstrkz"/>
    <w:uiPriority w:val="99"/>
    <w:locked/>
    <w:rsid w:val="007E3ADB"/>
    <w:rPr>
      <w:rFonts w:ascii="Calibri" w:eastAsia="Times New Roman" w:hAnsi="Calibri" w:cs="Times New Roman"/>
    </w:rPr>
  </w:style>
  <w:style w:type="paragraph" w:customStyle="1" w:styleId="Default">
    <w:name w:val="Default"/>
    <w:rsid w:val="007E3ADB"/>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3543</Words>
  <Characters>24453</Characters>
  <Application>Microsoft Office Word</Application>
  <DocSecurity>0</DocSecurity>
  <Lines>203</Lines>
  <Paragraphs>55</Paragraphs>
  <ScaleCrop>false</ScaleCrop>
  <Company/>
  <LinksUpToDate>false</LinksUpToDate>
  <CharactersWithSpaces>27941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Bajári Teodóra</dc:creator>
  <cp:keywords/>
  <dc:description/>
  <cp:lastModifiedBy>Bajári Teodóra</cp:lastModifiedBy>
  <cp:revision>1</cp:revision>
  <dcterms:created xsi:type="dcterms:W3CDTF">2020-03-04T09:47:00Z</dcterms:created>
  <dcterms:modified xsi:type="dcterms:W3CDTF">2020-03-04T09:47:00Z</dcterms:modified>
</cp:coreProperties>
</file>