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12B" w:rsidRPr="005D24CE" w:rsidRDefault="002D212B" w:rsidP="002D212B">
      <w:pPr>
        <w:spacing w:after="0" w:line="240" w:lineRule="auto"/>
        <w:jc w:val="center"/>
        <w:rPr>
          <w:rFonts w:ascii="Garamond" w:hAnsi="Garamond" w:cs="Garamond"/>
          <w:b/>
          <w:bCs/>
        </w:rPr>
      </w:pPr>
      <w:r w:rsidRPr="005D24CE">
        <w:rPr>
          <w:rFonts w:ascii="Garamond" w:hAnsi="Garamond" w:cs="Garamond"/>
          <w:b/>
          <w:bCs/>
          <w:caps/>
        </w:rPr>
        <w:t>Indokolás</w:t>
      </w:r>
      <w:r w:rsidRPr="005D24CE">
        <w:rPr>
          <w:rFonts w:ascii="Garamond" w:hAnsi="Garamond" w:cs="Garamond"/>
          <w:b/>
          <w:bCs/>
        </w:rPr>
        <w:t xml:space="preserve">  </w:t>
      </w:r>
    </w:p>
    <w:p w:rsidR="002D212B" w:rsidRPr="00D70518" w:rsidRDefault="002D212B" w:rsidP="002D212B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proofErr w:type="spellStart"/>
      <w:r>
        <w:rPr>
          <w:rFonts w:ascii="Garamond" w:hAnsi="Garamond"/>
          <w:b/>
          <w:bCs/>
          <w:bdr w:val="none" w:sz="0" w:space="0" w:color="auto" w:frame="1"/>
        </w:rPr>
        <w:t>Sorokpolány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Község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Önkormányzata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Képviselő-testületének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2D212B" w:rsidRPr="00D70518" w:rsidRDefault="002D212B" w:rsidP="002D212B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r w:rsidRPr="00D70518">
        <w:rPr>
          <w:rFonts w:ascii="Garamond" w:hAnsi="Garamond"/>
          <w:b/>
          <w:bCs/>
          <w:bdr w:val="none" w:sz="0" w:space="0" w:color="auto" w:frame="1"/>
        </w:rPr>
        <w:t>…/2020. (</w:t>
      </w:r>
      <w:r>
        <w:rPr>
          <w:rFonts w:ascii="Garamond" w:hAnsi="Garamond"/>
          <w:b/>
          <w:bCs/>
          <w:bdr w:val="none" w:sz="0" w:space="0" w:color="auto" w:frame="1"/>
        </w:rPr>
        <w:t xml:space="preserve">VI. </w:t>
      </w:r>
      <w:r w:rsidRPr="00D70518">
        <w:rPr>
          <w:rFonts w:ascii="Garamond" w:hAnsi="Garamond"/>
          <w:b/>
          <w:bCs/>
          <w:bdr w:val="none" w:sz="0" w:space="0" w:color="auto" w:frame="1"/>
        </w:rPr>
        <w:t xml:space="preserve">.….)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önkormányzati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 w:rsidRPr="00D70518">
        <w:rPr>
          <w:rFonts w:ascii="Garamond" w:hAnsi="Garamond"/>
          <w:b/>
          <w:bCs/>
          <w:bdr w:val="none" w:sz="0" w:space="0" w:color="auto" w:frame="1"/>
        </w:rPr>
        <w:t>rendelete</w:t>
      </w:r>
      <w:proofErr w:type="spellEnd"/>
      <w:r w:rsidRPr="00D70518"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2D212B" w:rsidRPr="00D70518" w:rsidRDefault="002D212B" w:rsidP="002D212B">
      <w:pPr>
        <w:spacing w:after="0" w:line="240" w:lineRule="auto"/>
        <w:jc w:val="center"/>
        <w:rPr>
          <w:rFonts w:ascii="Garamond" w:hAnsi="Garamond"/>
          <w:b/>
        </w:rPr>
      </w:pPr>
      <w:r w:rsidRPr="00D70518">
        <w:rPr>
          <w:rFonts w:ascii="Garamond" w:hAnsi="Garamond"/>
          <w:b/>
        </w:rPr>
        <w:t xml:space="preserve">a </w:t>
      </w:r>
      <w:r w:rsidRPr="00D70518">
        <w:rPr>
          <w:rFonts w:ascii="Garamond" w:hAnsi="Garamond"/>
          <w:b/>
          <w:bCs/>
          <w:bdr w:val="none" w:sz="0" w:space="0" w:color="auto" w:frame="1"/>
        </w:rPr>
        <w:t>Sorkifalud</w:t>
      </w:r>
      <w:r w:rsidRPr="00D70518">
        <w:rPr>
          <w:rFonts w:ascii="Garamond" w:hAnsi="Garamond"/>
          <w:b/>
        </w:rPr>
        <w:t xml:space="preserve">i </w:t>
      </w:r>
      <w:proofErr w:type="spellStart"/>
      <w:r w:rsidRPr="00D70518">
        <w:rPr>
          <w:rFonts w:ascii="Garamond" w:hAnsi="Garamond"/>
          <w:b/>
        </w:rPr>
        <w:t>Közös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Önkormányzati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Hivatalban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foglalkoztatott</w:t>
      </w:r>
      <w:proofErr w:type="spellEnd"/>
      <w:r w:rsidRPr="00D70518">
        <w:rPr>
          <w:rFonts w:ascii="Garamond" w:hAnsi="Garamond"/>
          <w:b/>
        </w:rPr>
        <w:t xml:space="preserve"> </w:t>
      </w:r>
    </w:p>
    <w:p w:rsidR="002D212B" w:rsidRPr="00D70518" w:rsidRDefault="002D212B" w:rsidP="002D212B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 w:rsidRPr="00D70518">
        <w:rPr>
          <w:rFonts w:ascii="Garamond" w:hAnsi="Garamond"/>
          <w:b/>
        </w:rPr>
        <w:t>köztisztviselőket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megillető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szociális</w:t>
      </w:r>
      <w:proofErr w:type="spellEnd"/>
      <w:r w:rsidRPr="00D70518">
        <w:rPr>
          <w:rFonts w:ascii="Garamond" w:hAnsi="Garamond"/>
          <w:b/>
        </w:rPr>
        <w:t xml:space="preserve">, </w:t>
      </w:r>
      <w:proofErr w:type="spellStart"/>
      <w:r w:rsidRPr="00D70518">
        <w:rPr>
          <w:rFonts w:ascii="Garamond" w:hAnsi="Garamond"/>
          <w:b/>
        </w:rPr>
        <w:t>jóléti</w:t>
      </w:r>
      <w:proofErr w:type="spellEnd"/>
      <w:r w:rsidRPr="00D70518">
        <w:rPr>
          <w:rFonts w:ascii="Garamond" w:hAnsi="Garamond"/>
          <w:b/>
        </w:rPr>
        <w:t xml:space="preserve">, </w:t>
      </w:r>
      <w:proofErr w:type="spellStart"/>
      <w:r w:rsidRPr="00D70518">
        <w:rPr>
          <w:rFonts w:ascii="Garamond" w:hAnsi="Garamond"/>
          <w:b/>
        </w:rPr>
        <w:t>kulturális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gramStart"/>
      <w:r w:rsidRPr="00D70518">
        <w:rPr>
          <w:rFonts w:ascii="Garamond" w:hAnsi="Garamond"/>
          <w:b/>
        </w:rPr>
        <w:t xml:space="preserve">és  </w:t>
      </w:r>
      <w:proofErr w:type="spellStart"/>
      <w:r w:rsidRPr="00D70518">
        <w:rPr>
          <w:rFonts w:ascii="Garamond" w:hAnsi="Garamond"/>
          <w:b/>
        </w:rPr>
        <w:t>egészségügyi</w:t>
      </w:r>
      <w:proofErr w:type="spellEnd"/>
      <w:proofErr w:type="gram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juttatásokról</w:t>
      </w:r>
      <w:proofErr w:type="spellEnd"/>
      <w:r w:rsidRPr="00D70518">
        <w:rPr>
          <w:rFonts w:ascii="Garamond" w:hAnsi="Garamond"/>
          <w:b/>
        </w:rPr>
        <w:t xml:space="preserve">, </w:t>
      </w:r>
    </w:p>
    <w:p w:rsidR="002D212B" w:rsidRPr="00D70518" w:rsidRDefault="002D212B" w:rsidP="002D212B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 w:rsidRPr="00D70518">
        <w:rPr>
          <w:rFonts w:ascii="Garamond" w:hAnsi="Garamond"/>
          <w:b/>
        </w:rPr>
        <w:t>valamint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szociális</w:t>
      </w:r>
      <w:proofErr w:type="spellEnd"/>
      <w:r w:rsidRPr="00D70518">
        <w:rPr>
          <w:rFonts w:ascii="Garamond" w:hAnsi="Garamond"/>
          <w:b/>
        </w:rPr>
        <w:t xml:space="preserve"> és </w:t>
      </w:r>
      <w:proofErr w:type="spellStart"/>
      <w:r w:rsidRPr="00D70518">
        <w:rPr>
          <w:rFonts w:ascii="Garamond" w:hAnsi="Garamond"/>
          <w:b/>
        </w:rPr>
        <w:t>kegyeleti</w:t>
      </w:r>
      <w:proofErr w:type="spellEnd"/>
      <w:r w:rsidRPr="00D70518">
        <w:rPr>
          <w:rFonts w:ascii="Garamond" w:hAnsi="Garamond"/>
          <w:b/>
        </w:rPr>
        <w:t xml:space="preserve"> </w:t>
      </w:r>
      <w:proofErr w:type="spellStart"/>
      <w:r w:rsidRPr="00D70518">
        <w:rPr>
          <w:rFonts w:ascii="Garamond" w:hAnsi="Garamond"/>
          <w:b/>
        </w:rPr>
        <w:t>támogatásokról</w:t>
      </w:r>
      <w:proofErr w:type="spellEnd"/>
    </w:p>
    <w:p w:rsidR="002D212B" w:rsidRPr="005D24CE" w:rsidRDefault="002D212B" w:rsidP="002D212B">
      <w:pPr>
        <w:spacing w:after="0" w:line="240" w:lineRule="auto"/>
        <w:jc w:val="both"/>
        <w:rPr>
          <w:rFonts w:ascii="Garamond" w:hAnsi="Garamond" w:cs="Garamond"/>
        </w:rPr>
      </w:pPr>
    </w:p>
    <w:p w:rsidR="002D212B" w:rsidRPr="005D24CE" w:rsidRDefault="002D212B" w:rsidP="002D212B">
      <w:pPr>
        <w:spacing w:after="0" w:line="240" w:lineRule="auto"/>
        <w:jc w:val="both"/>
        <w:rPr>
          <w:rFonts w:ascii="Garamond" w:hAnsi="Garamond"/>
          <w:i/>
        </w:rPr>
      </w:pPr>
      <w:r w:rsidRPr="005D24CE">
        <w:rPr>
          <w:rFonts w:ascii="Garamond" w:hAnsi="Garamond"/>
        </w:rPr>
        <w:t xml:space="preserve">A </w:t>
      </w:r>
      <w:proofErr w:type="spellStart"/>
      <w:r w:rsidRPr="005D24CE">
        <w:rPr>
          <w:rFonts w:ascii="Garamond" w:hAnsi="Garamond"/>
        </w:rPr>
        <w:t>Jat</w:t>
      </w:r>
      <w:proofErr w:type="spellEnd"/>
      <w:r w:rsidRPr="005D24CE">
        <w:rPr>
          <w:rFonts w:ascii="Garamond" w:hAnsi="Garamond"/>
        </w:rPr>
        <w:t xml:space="preserve">. 18.§ (1)-(2) </w:t>
      </w:r>
      <w:proofErr w:type="spellStart"/>
      <w:r w:rsidRPr="005D24CE">
        <w:rPr>
          <w:rFonts w:ascii="Garamond" w:hAnsi="Garamond"/>
        </w:rPr>
        <w:t>bekezdése</w:t>
      </w:r>
      <w:proofErr w:type="spellEnd"/>
      <w:r w:rsidRPr="005D24CE">
        <w:rPr>
          <w:rFonts w:ascii="Garamond" w:hAnsi="Garamond"/>
        </w:rPr>
        <w:t xml:space="preserve"> </w:t>
      </w:r>
      <w:proofErr w:type="spellStart"/>
      <w:r w:rsidRPr="005D24CE">
        <w:rPr>
          <w:rFonts w:ascii="Garamond" w:hAnsi="Garamond"/>
        </w:rPr>
        <w:t>rögzíti</w:t>
      </w:r>
      <w:proofErr w:type="spellEnd"/>
      <w:r w:rsidRPr="005D24CE">
        <w:rPr>
          <w:rFonts w:ascii="Garamond" w:hAnsi="Garamond"/>
        </w:rPr>
        <w:t xml:space="preserve">, </w:t>
      </w:r>
      <w:proofErr w:type="spellStart"/>
      <w:r w:rsidRPr="005D24CE">
        <w:rPr>
          <w:rFonts w:ascii="Garamond" w:hAnsi="Garamond"/>
        </w:rPr>
        <w:t>hogy</w:t>
      </w:r>
      <w:proofErr w:type="spellEnd"/>
      <w:r w:rsidRPr="005D24CE">
        <w:rPr>
          <w:rFonts w:ascii="Garamond" w:hAnsi="Garamond"/>
        </w:rPr>
        <w:t> „</w:t>
      </w:r>
      <w:r w:rsidRPr="005D24CE">
        <w:rPr>
          <w:rFonts w:ascii="Garamond" w:hAnsi="Garamond"/>
          <w:i/>
        </w:rPr>
        <w:t xml:space="preserve">A </w:t>
      </w:r>
      <w:proofErr w:type="spellStart"/>
      <w:r w:rsidRPr="005D24CE">
        <w:rPr>
          <w:rFonts w:ascii="Garamond" w:hAnsi="Garamond"/>
          <w:i/>
        </w:rPr>
        <w:t>jogszabály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tervezetéhez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jogszabály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előkészítője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indokolást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csatol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amelyben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bemutatja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azokat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társadalmi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gazdasági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szakmai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okokat</w:t>
      </w:r>
      <w:proofErr w:type="spellEnd"/>
      <w:r w:rsidRPr="005D24CE">
        <w:rPr>
          <w:rFonts w:ascii="Garamond" w:hAnsi="Garamond"/>
          <w:i/>
        </w:rPr>
        <w:t xml:space="preserve"> és </w:t>
      </w:r>
      <w:proofErr w:type="spellStart"/>
      <w:r w:rsidRPr="005D24CE">
        <w:rPr>
          <w:rFonts w:ascii="Garamond" w:hAnsi="Garamond"/>
          <w:i/>
        </w:rPr>
        <w:t>célokat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amelyek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javasolt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szabályozást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szükségessé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teszik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továbbá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ismerteti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jogi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szabályozás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várható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hatásait</w:t>
      </w:r>
      <w:proofErr w:type="spellEnd"/>
      <w:r w:rsidRPr="005D24CE">
        <w:rPr>
          <w:rFonts w:ascii="Garamond" w:hAnsi="Garamond"/>
          <w:i/>
        </w:rPr>
        <w:t>.</w:t>
      </w:r>
    </w:p>
    <w:p w:rsidR="002D212B" w:rsidRDefault="002D212B" w:rsidP="002D21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 w:rsidRPr="005D24CE">
        <w:rPr>
          <w:rFonts w:ascii="Garamond" w:hAnsi="Garamond"/>
          <w:i/>
        </w:rPr>
        <w:t xml:space="preserve">(2) A </w:t>
      </w:r>
      <w:proofErr w:type="spellStart"/>
      <w:r w:rsidRPr="005D24CE">
        <w:rPr>
          <w:rFonts w:ascii="Garamond" w:hAnsi="Garamond"/>
          <w:i/>
        </w:rPr>
        <w:t>jogszabály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tervezetének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indokolásában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tájékoztatást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kell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adni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javasolt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szabályozás</w:t>
      </w:r>
      <w:proofErr w:type="spellEnd"/>
      <w:r w:rsidRPr="005D24CE">
        <w:rPr>
          <w:rFonts w:ascii="Garamond" w:hAnsi="Garamond"/>
          <w:i/>
        </w:rPr>
        <w:t xml:space="preserve"> és </w:t>
      </w:r>
      <w:proofErr w:type="spellStart"/>
      <w:r w:rsidRPr="005D24CE">
        <w:rPr>
          <w:rFonts w:ascii="Garamond" w:hAnsi="Garamond"/>
          <w:i/>
        </w:rPr>
        <w:t>az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európai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uniós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jogból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eredő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kötelezettségek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összhangjáról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valamint</w:t>
      </w:r>
      <w:proofErr w:type="spellEnd"/>
      <w:r w:rsidRPr="005D24CE">
        <w:rPr>
          <w:rFonts w:ascii="Garamond" w:hAnsi="Garamond"/>
          <w:i/>
        </w:rPr>
        <w:t xml:space="preserve"> a </w:t>
      </w:r>
      <w:hyperlink r:id="rId4" w:anchor="sid54272" w:history="1">
        <w:r w:rsidRPr="005D24CE">
          <w:rPr>
            <w:rStyle w:val="Hiperhivatkozs"/>
            <w:rFonts w:ascii="Garamond" w:hAnsi="Garamond"/>
            <w:i/>
          </w:rPr>
          <w:t>20.§</w:t>
        </w:r>
      </w:hyperlink>
      <w:r w:rsidRPr="005D24CE">
        <w:rPr>
          <w:rFonts w:ascii="Garamond" w:hAnsi="Garamond"/>
          <w:i/>
        </w:rPr>
        <w:t> </w:t>
      </w:r>
      <w:proofErr w:type="spellStart"/>
      <w:r w:rsidRPr="005D24CE">
        <w:rPr>
          <w:rFonts w:ascii="Garamond" w:hAnsi="Garamond"/>
          <w:i/>
        </w:rPr>
        <w:t>szerinti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egyeztetési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kötelezettségről</w:t>
      </w:r>
      <w:proofErr w:type="spellEnd"/>
      <w:r w:rsidRPr="005D24CE">
        <w:rPr>
          <w:rFonts w:ascii="Garamond" w:hAnsi="Garamond"/>
          <w:i/>
        </w:rPr>
        <w:t>.”</w:t>
      </w:r>
      <w:r>
        <w:rPr>
          <w:rFonts w:ascii="Garamond" w:hAnsi="Garamond"/>
          <w:i/>
        </w:rPr>
        <w:t xml:space="preserve"> </w:t>
      </w:r>
    </w:p>
    <w:p w:rsidR="002D212B" w:rsidRDefault="002D212B" w:rsidP="002D21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5D24CE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megváltozott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jogszabályi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környezetre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tekintettel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szükségessé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vált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önkormányzati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felülvizsgálata</w:t>
      </w:r>
      <w:proofErr w:type="spellEnd"/>
      <w:r>
        <w:rPr>
          <w:rFonts w:ascii="Garamond" w:hAnsi="Garamond"/>
        </w:rPr>
        <w:t xml:space="preserve">. </w:t>
      </w:r>
    </w:p>
    <w:p w:rsidR="002D212B" w:rsidRDefault="002D212B" w:rsidP="002D21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2D212B" w:rsidRDefault="002D212B" w:rsidP="002D21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 w:rsidRPr="005D24CE">
        <w:rPr>
          <w:rFonts w:ascii="Garamond" w:hAnsi="Garamond"/>
        </w:rPr>
        <w:t xml:space="preserve">A </w:t>
      </w:r>
      <w:proofErr w:type="spellStart"/>
      <w:r w:rsidRPr="005D24CE">
        <w:rPr>
          <w:rFonts w:ascii="Garamond" w:hAnsi="Garamond"/>
        </w:rPr>
        <w:t>közszolgálati</w:t>
      </w:r>
      <w:proofErr w:type="spellEnd"/>
      <w:r w:rsidRPr="005D24CE">
        <w:rPr>
          <w:rFonts w:ascii="Garamond" w:hAnsi="Garamond"/>
        </w:rPr>
        <w:t xml:space="preserve"> </w:t>
      </w:r>
      <w:proofErr w:type="spellStart"/>
      <w:r w:rsidRPr="005D24CE">
        <w:rPr>
          <w:rFonts w:ascii="Garamond" w:hAnsi="Garamond"/>
        </w:rPr>
        <w:t>tisztviselőkről</w:t>
      </w:r>
      <w:proofErr w:type="spellEnd"/>
      <w:r w:rsidRPr="005D24CE">
        <w:rPr>
          <w:rFonts w:ascii="Garamond" w:hAnsi="Garamond"/>
        </w:rPr>
        <w:t xml:space="preserve"> </w:t>
      </w:r>
      <w:proofErr w:type="spellStart"/>
      <w:r w:rsidRPr="005D24CE">
        <w:rPr>
          <w:rFonts w:ascii="Garamond" w:hAnsi="Garamond"/>
        </w:rPr>
        <w:t>szóló</w:t>
      </w:r>
      <w:proofErr w:type="spellEnd"/>
      <w:r w:rsidRPr="005D24CE">
        <w:rPr>
          <w:rFonts w:ascii="Garamond" w:hAnsi="Garamond"/>
        </w:rPr>
        <w:t xml:space="preserve"> 2011. </w:t>
      </w:r>
      <w:proofErr w:type="spellStart"/>
      <w:r w:rsidRPr="005D24CE">
        <w:rPr>
          <w:rFonts w:ascii="Garamond" w:hAnsi="Garamond"/>
        </w:rPr>
        <w:t>évi</w:t>
      </w:r>
      <w:proofErr w:type="spellEnd"/>
      <w:r w:rsidRPr="005D24CE">
        <w:rPr>
          <w:rFonts w:ascii="Garamond" w:hAnsi="Garamond"/>
        </w:rPr>
        <w:t xml:space="preserve"> CXCIX. </w:t>
      </w:r>
      <w:proofErr w:type="spellStart"/>
      <w:r w:rsidRPr="005D24CE">
        <w:rPr>
          <w:rFonts w:ascii="Garamond" w:hAnsi="Garamond"/>
        </w:rPr>
        <w:t>törvény</w:t>
      </w:r>
      <w:proofErr w:type="spellEnd"/>
      <w:r w:rsidRPr="005D24CE">
        <w:rPr>
          <w:rFonts w:ascii="Garamond" w:hAnsi="Garamond"/>
        </w:rPr>
        <w:t xml:space="preserve"> – a </w:t>
      </w:r>
      <w:proofErr w:type="spellStart"/>
      <w:r w:rsidRPr="005D24CE">
        <w:rPr>
          <w:rFonts w:ascii="Garamond" w:hAnsi="Garamond"/>
        </w:rPr>
        <w:t>továbbiakban</w:t>
      </w:r>
      <w:proofErr w:type="spellEnd"/>
      <w:r w:rsidRPr="005D24CE">
        <w:rPr>
          <w:rFonts w:ascii="Garamond" w:hAnsi="Garamond"/>
        </w:rPr>
        <w:t xml:space="preserve">: </w:t>
      </w:r>
      <w:proofErr w:type="spellStart"/>
      <w:r w:rsidRPr="005D24CE">
        <w:rPr>
          <w:rFonts w:ascii="Garamond" w:hAnsi="Garamond"/>
        </w:rPr>
        <w:t>Kttv</w:t>
      </w:r>
      <w:proofErr w:type="spellEnd"/>
      <w:r w:rsidRPr="005D24CE">
        <w:rPr>
          <w:rFonts w:ascii="Garamond" w:hAnsi="Garamond"/>
        </w:rPr>
        <w:t xml:space="preserve">. – </w:t>
      </w:r>
      <w:proofErr w:type="gramStart"/>
      <w:r>
        <w:rPr>
          <w:rFonts w:ascii="Garamond" w:hAnsi="Garamond"/>
        </w:rPr>
        <w:t>226.§</w:t>
      </w:r>
      <w:proofErr w:type="gramEnd"/>
      <w:r>
        <w:rPr>
          <w:rFonts w:ascii="Garamond" w:hAnsi="Garamond"/>
        </w:rPr>
        <w:t xml:space="preserve"> (7) </w:t>
      </w:r>
      <w:proofErr w:type="spellStart"/>
      <w:r>
        <w:rPr>
          <w:rFonts w:ascii="Garamond" w:hAnsi="Garamond"/>
        </w:rPr>
        <w:t>bekezdése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szerint</w:t>
      </w:r>
      <w:proofErr w:type="spellEnd"/>
      <w:r w:rsidRPr="004746CC">
        <w:rPr>
          <w:rFonts w:ascii="Garamond" w:hAnsi="Garamond"/>
          <w:i/>
        </w:rPr>
        <w:t xml:space="preserve">: </w:t>
      </w:r>
      <w:r>
        <w:rPr>
          <w:rFonts w:ascii="Garamond" w:hAnsi="Garamond"/>
          <w:i/>
        </w:rPr>
        <w:t>“</w:t>
      </w:r>
      <w:r w:rsidRPr="004746CC">
        <w:rPr>
          <w:rFonts w:ascii="Garamond" w:hAnsi="Garamond"/>
          <w:i/>
        </w:rPr>
        <w:t xml:space="preserve">A </w:t>
      </w:r>
      <w:proofErr w:type="spellStart"/>
      <w:r w:rsidRPr="004746CC">
        <w:rPr>
          <w:rFonts w:ascii="Garamond" w:hAnsi="Garamond"/>
          <w:i/>
        </w:rPr>
        <w:t>képviselő-testület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hivatalánál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foglalkoztatott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köztisztviselő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részére</w:t>
      </w:r>
      <w:proofErr w:type="spellEnd"/>
      <w:r w:rsidRPr="004746CC">
        <w:rPr>
          <w:rFonts w:ascii="Garamond" w:hAnsi="Garamond"/>
          <w:i/>
        </w:rPr>
        <w:t xml:space="preserve"> a 143. § (2) </w:t>
      </w:r>
      <w:proofErr w:type="spellStart"/>
      <w:r w:rsidRPr="004746CC">
        <w:rPr>
          <w:rFonts w:ascii="Garamond" w:hAnsi="Garamond"/>
          <w:i/>
        </w:rPr>
        <w:t>bekezdése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szerinti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bankszámlahozzájárulás</w:t>
      </w:r>
      <w:proofErr w:type="spellEnd"/>
      <w:r w:rsidRPr="004746CC">
        <w:rPr>
          <w:rFonts w:ascii="Garamond" w:hAnsi="Garamond"/>
          <w:i/>
        </w:rPr>
        <w:t xml:space="preserve"> a </w:t>
      </w:r>
      <w:proofErr w:type="spellStart"/>
      <w:r w:rsidRPr="004746CC">
        <w:rPr>
          <w:rFonts w:ascii="Garamond" w:hAnsi="Garamond"/>
          <w:i/>
        </w:rPr>
        <w:t>helyi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önkormányzat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képviselő-testületének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rendeletében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meghatározott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módon</w:t>
      </w:r>
      <w:proofErr w:type="spellEnd"/>
      <w:r w:rsidRPr="004746CC">
        <w:rPr>
          <w:rFonts w:ascii="Garamond" w:hAnsi="Garamond"/>
          <w:i/>
        </w:rPr>
        <w:t xml:space="preserve"> és </w:t>
      </w:r>
      <w:proofErr w:type="spellStart"/>
      <w:r w:rsidRPr="004746CC">
        <w:rPr>
          <w:rFonts w:ascii="Garamond" w:hAnsi="Garamond"/>
          <w:i/>
        </w:rPr>
        <w:t>mértékben</w:t>
      </w:r>
      <w:proofErr w:type="spellEnd"/>
      <w:r w:rsidRPr="004746CC">
        <w:rPr>
          <w:rFonts w:ascii="Garamond" w:hAnsi="Garamond"/>
          <w:i/>
        </w:rPr>
        <w:t xml:space="preserve"> </w:t>
      </w:r>
      <w:proofErr w:type="spellStart"/>
      <w:r w:rsidRPr="004746CC">
        <w:rPr>
          <w:rFonts w:ascii="Garamond" w:hAnsi="Garamond"/>
          <w:i/>
        </w:rPr>
        <w:t>nyújtható</w:t>
      </w:r>
      <w:proofErr w:type="spellEnd"/>
      <w:r w:rsidRPr="004746CC">
        <w:rPr>
          <w:rFonts w:ascii="Garamond" w:hAnsi="Garamond"/>
          <w:i/>
        </w:rPr>
        <w:t>.</w:t>
      </w:r>
      <w:r>
        <w:rPr>
          <w:rFonts w:ascii="Garamond" w:hAnsi="Garamond"/>
          <w:i/>
        </w:rPr>
        <w:t>”</w:t>
      </w:r>
    </w:p>
    <w:p w:rsidR="002D212B" w:rsidRPr="004746CC" w:rsidRDefault="002D212B" w:rsidP="002D21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</w:p>
    <w:p w:rsidR="002D212B" w:rsidRDefault="002D212B" w:rsidP="002D212B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lang w:val="hu-HU"/>
        </w:rPr>
        <w:t xml:space="preserve">A törvény </w:t>
      </w:r>
      <w:r w:rsidRPr="005D24CE">
        <w:rPr>
          <w:rFonts w:ascii="Garamond" w:hAnsi="Garamond"/>
          <w:lang w:val="hu-HU"/>
        </w:rPr>
        <w:t>237.§-a kimondja, hogy „</w:t>
      </w:r>
      <w:r w:rsidRPr="005D24CE">
        <w:rPr>
          <w:rFonts w:ascii="Garamond" w:hAnsi="Garamond"/>
          <w:i/>
        </w:rPr>
        <w:t xml:space="preserve">Az </w:t>
      </w:r>
      <w:proofErr w:type="spellStart"/>
      <w:r w:rsidRPr="005D24CE">
        <w:rPr>
          <w:rFonts w:ascii="Garamond" w:hAnsi="Garamond"/>
          <w:i/>
        </w:rPr>
        <w:t>önkormányzati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képviselő-testület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juttatásokkal</w:t>
      </w:r>
      <w:proofErr w:type="spellEnd"/>
      <w:r w:rsidRPr="005D24CE">
        <w:rPr>
          <w:rFonts w:ascii="Garamond" w:hAnsi="Garamond"/>
          <w:i/>
        </w:rPr>
        <w:t xml:space="preserve"> és </w:t>
      </w:r>
      <w:proofErr w:type="spellStart"/>
      <w:r w:rsidRPr="005D24CE">
        <w:rPr>
          <w:rFonts w:ascii="Garamond" w:hAnsi="Garamond"/>
          <w:i/>
        </w:rPr>
        <w:t>támogatásokkal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összefüggésben</w:t>
      </w:r>
      <w:proofErr w:type="spellEnd"/>
      <w:r w:rsidRPr="005D24CE">
        <w:rPr>
          <w:rFonts w:ascii="Garamond" w:hAnsi="Garamond"/>
          <w:i/>
        </w:rPr>
        <w:t xml:space="preserve"> e </w:t>
      </w:r>
      <w:proofErr w:type="spellStart"/>
      <w:r w:rsidRPr="005D24CE">
        <w:rPr>
          <w:rFonts w:ascii="Garamond" w:hAnsi="Garamond"/>
          <w:i/>
        </w:rPr>
        <w:t>törvény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keretei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között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rendeletben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szabályozza</w:t>
      </w:r>
      <w:proofErr w:type="spellEnd"/>
      <w:r w:rsidRPr="005D24CE">
        <w:rPr>
          <w:rFonts w:ascii="Garamond" w:hAnsi="Garamond"/>
          <w:i/>
        </w:rPr>
        <w:t xml:space="preserve"> a </w:t>
      </w:r>
      <w:proofErr w:type="spellStart"/>
      <w:r w:rsidRPr="005D24CE">
        <w:rPr>
          <w:rFonts w:ascii="Garamond" w:hAnsi="Garamond"/>
          <w:i/>
        </w:rPr>
        <w:t>szociális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jóléti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kulturális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egészségügyi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juttatásokat</w:t>
      </w:r>
      <w:proofErr w:type="spellEnd"/>
      <w:r w:rsidRPr="005D24CE">
        <w:rPr>
          <w:rFonts w:ascii="Garamond" w:hAnsi="Garamond"/>
          <w:i/>
        </w:rPr>
        <w:t xml:space="preserve">, </w:t>
      </w:r>
      <w:proofErr w:type="spellStart"/>
      <w:r w:rsidRPr="005D24CE">
        <w:rPr>
          <w:rFonts w:ascii="Garamond" w:hAnsi="Garamond"/>
          <w:i/>
        </w:rPr>
        <w:t>szociális</w:t>
      </w:r>
      <w:proofErr w:type="spellEnd"/>
      <w:r w:rsidRPr="005D24CE">
        <w:rPr>
          <w:rFonts w:ascii="Garamond" w:hAnsi="Garamond"/>
          <w:i/>
        </w:rPr>
        <w:t xml:space="preserve"> és </w:t>
      </w:r>
      <w:proofErr w:type="spellStart"/>
      <w:r w:rsidRPr="005D24CE">
        <w:rPr>
          <w:rFonts w:ascii="Garamond" w:hAnsi="Garamond"/>
          <w:i/>
        </w:rPr>
        <w:t>kegyeleti</w:t>
      </w:r>
      <w:proofErr w:type="spellEnd"/>
      <w:r w:rsidRPr="005D24CE">
        <w:rPr>
          <w:rFonts w:ascii="Garamond" w:hAnsi="Garamond"/>
          <w:i/>
        </w:rPr>
        <w:t xml:space="preserve"> </w:t>
      </w:r>
      <w:proofErr w:type="spellStart"/>
      <w:r w:rsidRPr="005D24CE">
        <w:rPr>
          <w:rFonts w:ascii="Garamond" w:hAnsi="Garamond"/>
          <w:i/>
        </w:rPr>
        <w:t>támogatásokat</w:t>
      </w:r>
      <w:proofErr w:type="spellEnd"/>
      <w:r w:rsidRPr="005D24CE">
        <w:rPr>
          <w:rFonts w:ascii="Garamond" w:hAnsi="Garamond"/>
          <w:i/>
        </w:rPr>
        <w:t>.”</w:t>
      </w:r>
    </w:p>
    <w:p w:rsidR="002D212B" w:rsidRDefault="002D212B" w:rsidP="002D212B">
      <w:pPr>
        <w:spacing w:after="0" w:line="240" w:lineRule="auto"/>
        <w:jc w:val="both"/>
        <w:rPr>
          <w:rFonts w:ascii="Garamond" w:hAnsi="Garamond"/>
          <w:i/>
        </w:rPr>
      </w:pPr>
    </w:p>
    <w:p w:rsidR="002D212B" w:rsidRPr="000E6DC6" w:rsidRDefault="002D212B" w:rsidP="002D212B">
      <w:pPr>
        <w:spacing w:after="0" w:line="240" w:lineRule="auto"/>
        <w:jc w:val="both"/>
        <w:rPr>
          <w:rFonts w:ascii="Garamond" w:hAnsi="Garamond" w:cs="Garamond"/>
          <w:bCs/>
        </w:rPr>
      </w:pPr>
      <w:proofErr w:type="spellStart"/>
      <w:r w:rsidRPr="000E6DC6">
        <w:rPr>
          <w:rFonts w:ascii="Garamond" w:hAnsi="Garamond" w:cs="Garamond"/>
          <w:bCs/>
        </w:rPr>
        <w:t>Sorokpolány</w:t>
      </w:r>
      <w:proofErr w:type="spellEnd"/>
      <w:r w:rsidRPr="000E6DC6">
        <w:rPr>
          <w:rFonts w:ascii="Garamond" w:hAnsi="Garamond" w:cs="Garamond"/>
          <w:bCs/>
        </w:rPr>
        <w:t xml:space="preserve">, 2020. </w:t>
      </w:r>
      <w:proofErr w:type="spellStart"/>
      <w:r w:rsidRPr="000E6DC6">
        <w:rPr>
          <w:rFonts w:ascii="Garamond" w:hAnsi="Garamond" w:cs="Garamond"/>
          <w:bCs/>
        </w:rPr>
        <w:t>június</w:t>
      </w:r>
      <w:proofErr w:type="spellEnd"/>
      <w:r w:rsidRPr="000E6DC6">
        <w:rPr>
          <w:rFonts w:ascii="Garamond" w:hAnsi="Garamond" w:cs="Garamond"/>
          <w:bCs/>
        </w:rPr>
        <w:t xml:space="preserve"> 19.</w:t>
      </w:r>
    </w:p>
    <w:p w:rsidR="002D212B" w:rsidRPr="00D70518" w:rsidRDefault="002D212B" w:rsidP="002D212B">
      <w:pPr>
        <w:spacing w:after="0" w:line="240" w:lineRule="auto"/>
        <w:jc w:val="both"/>
        <w:rPr>
          <w:rFonts w:ascii="Garamond" w:hAnsi="Garamond" w:cs="Garamond"/>
          <w:b/>
          <w:bCs/>
        </w:rPr>
      </w:pPr>
    </w:p>
    <w:p w:rsidR="002D212B" w:rsidRDefault="002D212B" w:rsidP="002D212B">
      <w:pPr>
        <w:spacing w:after="0" w:line="240" w:lineRule="auto"/>
        <w:jc w:val="center"/>
        <w:rPr>
          <w:rFonts w:ascii="Garamond" w:hAnsi="Garamond" w:cs="Garamond"/>
          <w:b/>
          <w:b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2D212B" w:rsidRPr="005102B0" w:rsidTr="00C55A7D">
        <w:tc>
          <w:tcPr>
            <w:tcW w:w="4604" w:type="dxa"/>
          </w:tcPr>
          <w:p w:rsidR="002D212B" w:rsidRPr="005102B0" w:rsidRDefault="002D212B" w:rsidP="00C55A7D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Mező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Gáborné</w:t>
            </w:r>
            <w:proofErr w:type="spellEnd"/>
            <w:r w:rsidRPr="005102B0">
              <w:rPr>
                <w:rFonts w:ascii="Garamond" w:hAnsi="Garamond"/>
              </w:rPr>
              <w:t xml:space="preserve"> sk.</w:t>
            </w:r>
          </w:p>
          <w:p w:rsidR="002D212B" w:rsidRPr="005102B0" w:rsidRDefault="002D212B" w:rsidP="00C55A7D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 w:rsidRPr="005102B0">
              <w:rPr>
                <w:rFonts w:ascii="Garamond" w:hAnsi="Garamond"/>
              </w:rPr>
              <w:t>polgármester</w:t>
            </w:r>
            <w:proofErr w:type="spellEnd"/>
          </w:p>
        </w:tc>
        <w:tc>
          <w:tcPr>
            <w:tcW w:w="4605" w:type="dxa"/>
          </w:tcPr>
          <w:p w:rsidR="002D212B" w:rsidRPr="005102B0" w:rsidRDefault="002D212B" w:rsidP="00C55A7D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Dr. Varga Krisztina</w:t>
            </w:r>
            <w:r w:rsidRPr="005102B0">
              <w:rPr>
                <w:rFonts w:ascii="Garamond" w:hAnsi="Garamond"/>
              </w:rPr>
              <w:t xml:space="preserve"> sk.</w:t>
            </w:r>
          </w:p>
          <w:p w:rsidR="002D212B" w:rsidRPr="005102B0" w:rsidRDefault="002D212B" w:rsidP="00C55A7D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 w:rsidRPr="005102B0">
              <w:rPr>
                <w:rFonts w:ascii="Garamond" w:hAnsi="Garamond"/>
              </w:rPr>
              <w:t>jegyző</w:t>
            </w:r>
            <w:proofErr w:type="spellEnd"/>
          </w:p>
        </w:tc>
      </w:tr>
    </w:tbl>
    <w:p w:rsidR="002D212B" w:rsidRDefault="002D212B" w:rsidP="002D212B">
      <w:pPr>
        <w:spacing w:after="0" w:line="240" w:lineRule="auto"/>
        <w:jc w:val="both"/>
        <w:rPr>
          <w:rFonts w:ascii="Garamond" w:hAnsi="Garamond" w:cs="Garamond"/>
          <w:b/>
          <w:bCs/>
          <w:caps/>
        </w:rPr>
      </w:pPr>
    </w:p>
    <w:p w:rsidR="002D212B" w:rsidRDefault="002D212B" w:rsidP="002D212B">
      <w:pPr>
        <w:spacing w:after="0" w:line="240" w:lineRule="auto"/>
        <w:jc w:val="both"/>
      </w:pPr>
    </w:p>
    <w:p w:rsidR="00FC1962" w:rsidRDefault="00FC1962"/>
    <w:sectPr w:rsidR="00FC1962" w:rsidSect="00EE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2B"/>
    <w:rsid w:val="002D212B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F09C-1A17-4B4C-9055-19B3B223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212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D21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51828&amp;srcid=ol749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2020-06-29T14:51:00Z</dcterms:created>
  <dcterms:modified xsi:type="dcterms:W3CDTF">2020-06-29T14:51:00Z</dcterms:modified>
</cp:coreProperties>
</file>