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4. melléklet a 30/2012. (XII. 19.) önkormányzati rendelethez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</w:p>
    <w:p w:rsidR="00B12556" w:rsidRPr="00B12556" w:rsidRDefault="00B12556" w:rsidP="00B12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556">
        <w:rPr>
          <w:rFonts w:ascii="Times New Roman" w:hAnsi="Times New Roman" w:cs="Times New Roman"/>
          <w:b/>
          <w:sz w:val="24"/>
          <w:szCs w:val="24"/>
        </w:rPr>
        <w:t>A polgármester feladat- és hatásköre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1. A polgármester terjeszti a Közgyűlés elé mindazokat az ügyeket, melyek előterjesztésére a 1-3. melléklet szerint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1.1. nem kizárólag a bizottság, a településrészi önkormányzat, valamint a tanácsnok jogosult,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1.2. kizárólag a bizottság, a településrészi önkormányzat, valamint a tanácsnok jogosult, feltéve, hogy megfelelő időben nem terjeszti elő.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 A Közgyűlés a következő hatásköreit ruházza át a polgármesterre döntésre: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2.1. a költségvetésben szereplő kiadási jogcímek előirányzatai között 30 millió Ft értékhatár alatti előirányzat-változtatást,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2.2. az év közben kapott előirányzat módosítást, amennyiben az előirányzat biztosítása a költségvetési törvényhez kapcsolódik,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2.3. évközben új, a költségvetésben nem szereplő feladat jóváhagyását 30 millió Ft értékhatár alatt a forrás egyidejű megjelölésével,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a lakóépületek energiatakarékos felújításának támogatásáról szóló önkormányzati rendeletben meghatározott hatáskört</w:t>
      </w:r>
      <w:r w:rsidRPr="00B125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2.5. a mindenkori költségvetési és az államháztartáson kívüli forrás átvételéről, átadásáról, valamint önkormányzati forrás átadásáról szóló önkormányzati rendeletben meghatározott döntési hatáskörök az abban meghatározottak szerint,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2.6. a nemzetközi kapcsolatok keretében külföldre utazók körének meghatározását,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2.7. a "Győr" név jogi személy és jogi személyiség nélküli gazdasági társaság nevében megkülönböztető jelzőként való használatához hozzájárulást,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2.8. az Önkormányzat vagyonának meghatározásáról, a vagyon feletti tulajdonosi jogok gyakorlásának és a vagyon kezelésének szabályozásáról szóló önkormányzati rendeletben külön meghatározott hatásköröket,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2.9. a szociális igazgatásról és szociális ellátások helyi szabályozásáról szóló 8/2011. (II. 28.) GYMJVÖ. rendelet 6. § (1) bekezdésében, 52. § (4) bekezdésében és 54. § (4) és (6) bekezdésében meghatározott hatáskört,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2.10. az önkormányzat kizárólagos tulajdonában lévő gazdasági </w:t>
      </w:r>
      <w:proofErr w:type="gramStart"/>
      <w:r w:rsidRPr="00B12556">
        <w:rPr>
          <w:rFonts w:ascii="Times New Roman" w:hAnsi="Times New Roman" w:cs="Times New Roman"/>
          <w:sz w:val="24"/>
          <w:szCs w:val="24"/>
        </w:rPr>
        <w:t>társaság vezető</w:t>
      </w:r>
      <w:proofErr w:type="gramEnd"/>
      <w:r w:rsidRPr="00B12556">
        <w:rPr>
          <w:rFonts w:ascii="Times New Roman" w:hAnsi="Times New Roman" w:cs="Times New Roman"/>
          <w:sz w:val="24"/>
          <w:szCs w:val="24"/>
        </w:rPr>
        <w:t xml:space="preserve"> tisztségviselőjével kapcsolatos egyéb munkáltató jogokat,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lastRenderedPageBreak/>
        <w:t xml:space="preserve">2.11. a közúti közlekedésről szóló 1988. évi I. törvényben a képviselő-testület hatáskörébe utalt ügyeket,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2.12. az Önkormányzat költségvetési szervének jogszabály által fenntartó vagy irányító szerv hatáskörébe utalt - a Közgyűlés át nem ruházható hatáskörébe nem tartozó - szabályzatának, különösen szervezeti és működési szabályzatának jóváhagyását, ha az nem tartalmaz díjmegállapítást, továbbá megállapodásának, szerződésének stb. jóváhagyását, engedélyezését,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2.13. a WHO Egészséges Városok Projekt Irányító Bizottsága összetételének meghatározását,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2.14. a házszámozásról és a házszám, valamint a helyrajzi szám megjelölésének módjáról szóló 29/1999. (X. 15.) Ök. rendelet 5. § (6) bekezdésében és 6. § (1) bekezdésében meghatározott hatáskört,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2.15. a Győr város jelképeiről: a címer, a zászló, a pecsét és a polgármesteri lánc használatának rendjéről szóló 6/1998. (III.1.) Ök. rendelet 7. § (1), (6) és (7) bekezdésében, valamint 9. § (2) bekezdésében meghatározott hatáskört,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2.16. a közterület-használatról szóló 9/2004. (III. 5.) Ök. rendelet 3. § (1) bekezdésében, 13. § (4) bekezdésében és 13/</w:t>
      </w:r>
      <w:proofErr w:type="gramStart"/>
      <w:r w:rsidRPr="00B1255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12556">
        <w:rPr>
          <w:rFonts w:ascii="Times New Roman" w:hAnsi="Times New Roman" w:cs="Times New Roman"/>
          <w:sz w:val="24"/>
          <w:szCs w:val="24"/>
        </w:rPr>
        <w:t>. § (3) bekezdésében meghatározott hatáskört,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2.17. a városüzemeltetés éves feladattervének jóváhagyását,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2.18. a városüzemeltetés finanszírozási tervének,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2.19. az épített környezet alakításáról és védelméről szóló 1997. évi LXXVIII. törvény 28. § (2) bekezdésében és a 29. § (5) bekezdésében biztosított hatáskörét,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2.20. az épített környezet alakításáról és védelméről szóló 1997. évi LXXVIII. törvény 30/</w:t>
      </w:r>
      <w:proofErr w:type="gramStart"/>
      <w:r w:rsidRPr="00B1255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12556">
        <w:rPr>
          <w:rFonts w:ascii="Times New Roman" w:hAnsi="Times New Roman" w:cs="Times New Roman"/>
          <w:sz w:val="24"/>
          <w:szCs w:val="24"/>
        </w:rPr>
        <w:t>. § szerinti településrendezési szerződés megkötését,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2.21. az Önkormányzat nevében kötendő - a Közgyűlés át nem ruházható hatáskörébe nem tartozó - együttműködési vagy bármilyen más megállapodás, szerződés, két- vagy többoldalú nyilatkozat megkötését, aláírását, az Önkormányzat vagy a Közgyűlés nevében - a Közgyűlés át nem ruházható hatáskörébe nem tartozó - bármilyen egyoldalú nyilatkozat megtételét, vélemény, egyetértés, állásfoglalás stb. megadását, döntés meghozatalát, igazolás kiadását,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2.22. az Önkormányzat vagy a Közgyűlés képviseletében eljárva - a Közgyűlés át nem ruházható hatáskörébe nem tartozó - döntés meghozatalát, valamennyi szükséges eljárási cselekmény elvégzését, intézkedés, nyilatkozat, vélemény, egyetértés és állásfoglalás megtételét,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2.23. az Önkormányzat Közbeszerzési Szabályzatának megalkotását és közbeszerzési eljárásnál hozandó döntés meghozatalát,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2.24. a „Városrész szolgálatáért” díj adományozását a 3. melléklet 2. pont 2.4. alpontjában foglalt kivétellel,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lastRenderedPageBreak/>
        <w:t xml:space="preserve">2.25. a Bakács László-emlékdíj, a „Győr Oktatásügyéért” díj, a „Győr Közművelődéséért” díj, a „Győr Művészetéért” díj, a „Győr Sportjáért” díj, a „Győr Város Egészségügyéért” díj, a „Győr Város Sajtódíja”, a „Győr Város Szociálpolitikájáért” díj, valamint „Kitaibel Pál Környezetvédelmi Emlékérem” adományozását,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2.26. az Önkormányzat intézményénél vezetői pályázat kiírását, </w:t>
      </w:r>
    </w:p>
    <w:p w:rsidR="00B12556" w:rsidRPr="00B12556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 xml:space="preserve">2.27. a köznevelésről szóló 2011. évi CXC. törvény 25. § (4) bekezdése és 26. § (1) bekezdése szerinti egyetértés megadását, a köznevelésről szóló 2011. évi CXC. törvény 50. § (8) bekezdése szerinti, 68. § (1) bekezdése szerinti, 75. § (1) bekezdése szerinti, 83. § (4) bekezdés h) pontja szerinti 83. § (3) bekezdés e) pontjára vonatkozó, valamint a nevelési-oktatási intézmények működéséről és a köznevelési intézmények névhasználatáról szóló 20/2012. (VII. 31.) EMMI rendelet 3. § (1) bekezdése szerinti vélemény megadását, </w:t>
      </w:r>
    </w:p>
    <w:p w:rsidR="00DC3C29" w:rsidRDefault="00B12556" w:rsidP="00B12556">
      <w:pPr>
        <w:rPr>
          <w:rFonts w:ascii="Times New Roman" w:hAnsi="Times New Roman" w:cs="Times New Roman"/>
          <w:sz w:val="24"/>
          <w:szCs w:val="24"/>
        </w:rPr>
      </w:pPr>
      <w:r w:rsidRPr="00B12556">
        <w:rPr>
          <w:rFonts w:ascii="Times New Roman" w:hAnsi="Times New Roman" w:cs="Times New Roman"/>
          <w:sz w:val="24"/>
          <w:szCs w:val="24"/>
        </w:rPr>
        <w:t>2.28. a mozgóképről szóló 2004. évi II. törvény 35/</w:t>
      </w:r>
      <w:proofErr w:type="gramStart"/>
      <w:r w:rsidRPr="00B1255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12556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B12556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B12556">
        <w:rPr>
          <w:rFonts w:ascii="Times New Roman" w:hAnsi="Times New Roman" w:cs="Times New Roman"/>
          <w:sz w:val="24"/>
          <w:szCs w:val="24"/>
        </w:rPr>
        <w:t>, valamint a végrehajtásához kapcsolódó jogszabályban meghatározott, a képviselő-tes</w:t>
      </w:r>
      <w:r w:rsidR="00EB09D2">
        <w:rPr>
          <w:rFonts w:ascii="Times New Roman" w:hAnsi="Times New Roman" w:cs="Times New Roman"/>
          <w:sz w:val="24"/>
          <w:szCs w:val="24"/>
        </w:rPr>
        <w:t>tület hatáskörébe tartozó ügyet, valamint</w:t>
      </w:r>
    </w:p>
    <w:p w:rsidR="00EB09D2" w:rsidRPr="00B12556" w:rsidRDefault="00EB09D2" w:rsidP="00B12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2.29. a helyi földbizottság állásfoglalása elleni </w:t>
      </w:r>
      <w:proofErr w:type="gramStart"/>
      <w:r>
        <w:rPr>
          <w:rFonts w:ascii="Times New Roman" w:hAnsi="Times New Roman" w:cs="Times New Roman"/>
          <w:sz w:val="24"/>
          <w:szCs w:val="24"/>
        </w:rPr>
        <w:t>kifogás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elbírálását.</w:t>
      </w:r>
      <w:bookmarkStart w:id="0" w:name="_GoBack"/>
      <w:bookmarkEnd w:id="0"/>
    </w:p>
    <w:sectPr w:rsidR="00EB09D2" w:rsidRPr="00B12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56"/>
    <w:rsid w:val="00B12556"/>
    <w:rsid w:val="00DC3C29"/>
    <w:rsid w:val="00EB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2014-03-31T13:31:00Z</dcterms:created>
  <dcterms:modified xsi:type="dcterms:W3CDTF">2014-03-31T13:48:00Z</dcterms:modified>
</cp:coreProperties>
</file>