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781" w:rsidRDefault="000F4126" w:rsidP="00816781">
      <w:pPr>
        <w:jc w:val="center"/>
        <w:rPr>
          <w:b/>
        </w:rPr>
      </w:pPr>
      <w:r>
        <w:rPr>
          <w:b/>
        </w:rPr>
        <w:t>Kemenessömjén</w:t>
      </w:r>
      <w:r w:rsidR="00816781">
        <w:rPr>
          <w:b/>
        </w:rPr>
        <w:t xml:space="preserve"> Község Önkormányzat Képviselő-testületének</w:t>
      </w:r>
    </w:p>
    <w:p w:rsidR="00816781" w:rsidRDefault="000F4126" w:rsidP="00816781">
      <w:pPr>
        <w:jc w:val="center"/>
        <w:rPr>
          <w:b/>
        </w:rPr>
      </w:pPr>
      <w:r>
        <w:rPr>
          <w:b/>
        </w:rPr>
        <w:t>6</w:t>
      </w:r>
      <w:r w:rsidR="00816781">
        <w:rPr>
          <w:b/>
        </w:rPr>
        <w:t>/2014. (VIII. 2</w:t>
      </w:r>
      <w:r>
        <w:rPr>
          <w:b/>
        </w:rPr>
        <w:t>9</w:t>
      </w:r>
      <w:r w:rsidR="00816781">
        <w:rPr>
          <w:b/>
        </w:rPr>
        <w:t>.) önkormányzati rendelete</w:t>
      </w:r>
    </w:p>
    <w:p w:rsidR="00816781" w:rsidRDefault="00816781" w:rsidP="00816781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közterületek elnevezéséről és a házszám-megállapítás szabályairól</w:t>
      </w:r>
    </w:p>
    <w:p w:rsidR="00816781" w:rsidRDefault="000F4126" w:rsidP="00816781">
      <w:pPr>
        <w:spacing w:before="100" w:beforeAutospacing="1" w:after="100" w:afterAutospacing="1"/>
        <w:jc w:val="both"/>
      </w:pPr>
      <w:r>
        <w:t xml:space="preserve">Kemenessömjén </w:t>
      </w:r>
      <w:r w:rsidR="00816781">
        <w:t>Község Önkormányzatának Képviselő-testülete a Magyarország helyi önkormányzatairól szóló 2011. évi CLXXXIX. törvény 51. § (5) bekezdésében és 143. § (3) bekezdésében kapott felhatalmazás alapján, az Alaptörvény 32. cikk (1) bekezdés a) pontjában és a Magyarország helyi önkormányzatairól szóló 2011. évi CLXXXIX. törvény 13. § (1) bekezdés 3. pontjában meghatározott feladatkörében eljárva a következőket rendeli el.</w:t>
      </w:r>
    </w:p>
    <w:p w:rsidR="00816781" w:rsidRDefault="00816781" w:rsidP="00816781">
      <w:pPr>
        <w:spacing w:before="100" w:beforeAutospacing="1" w:after="100" w:afterAutospacing="1"/>
        <w:jc w:val="center"/>
      </w:pPr>
      <w:r>
        <w:rPr>
          <w:b/>
          <w:bCs/>
        </w:rPr>
        <w:t>I. FEJEZET</w:t>
      </w:r>
    </w:p>
    <w:p w:rsidR="00816781" w:rsidRDefault="00816781" w:rsidP="00816781">
      <w:pPr>
        <w:spacing w:before="100" w:beforeAutospacing="1" w:after="100" w:afterAutospacing="1"/>
        <w:jc w:val="center"/>
      </w:pPr>
      <w:r>
        <w:rPr>
          <w:b/>
          <w:bCs/>
        </w:rPr>
        <w:t>ÁLTALÁNOS RENDELKEZÉSEK</w:t>
      </w:r>
    </w:p>
    <w:p w:rsidR="00816781" w:rsidRDefault="00816781" w:rsidP="00816781">
      <w:pPr>
        <w:spacing w:before="100" w:beforeAutospacing="1" w:after="100" w:afterAutospacing="1"/>
        <w:jc w:val="both"/>
      </w:pPr>
      <w:r>
        <w:rPr>
          <w:b/>
          <w:bCs/>
        </w:rPr>
        <w:t xml:space="preserve">1. § </w:t>
      </w:r>
      <w:r>
        <w:t>(1) A rendelet célja, hogy a közterületek elnevezésének és a házszám megállapításnak az egységes rendjét biztosítsa, és ennek során érvényesítse a helyi sajátosságokat, illetve az igazgatási, földrajzi, történelmi, közlekedési, tájékozódási és nyelvhelyességi szempontokat.</w:t>
      </w:r>
    </w:p>
    <w:p w:rsidR="00816781" w:rsidRDefault="00816781" w:rsidP="00816781">
      <w:pPr>
        <w:spacing w:before="100" w:beforeAutospacing="1" w:after="100" w:afterAutospacing="1"/>
        <w:jc w:val="both"/>
      </w:pPr>
      <w:r>
        <w:t xml:space="preserve">(2) </w:t>
      </w:r>
      <w:r w:rsidR="000F4126">
        <w:t>Kemenessömjén</w:t>
      </w:r>
      <w:r>
        <w:t xml:space="preserve"> község közigazgatási területén új közterületet elnevezni, új házszámot megállapítani, a korábban megállapított közterületnevet és házszámot megváltoztatni csak e rendelet szabályai szerint lehet.</w:t>
      </w:r>
    </w:p>
    <w:p w:rsidR="00816781" w:rsidRDefault="00816781" w:rsidP="00816781">
      <w:pPr>
        <w:spacing w:before="100" w:beforeAutospacing="1" w:after="100" w:afterAutospacing="1"/>
        <w:jc w:val="both"/>
      </w:pPr>
      <w:r>
        <w:rPr>
          <w:b/>
          <w:bCs/>
        </w:rPr>
        <w:t xml:space="preserve">2. § </w:t>
      </w:r>
      <w:r>
        <w:t>E rendelet alkalmazásában:</w:t>
      </w:r>
    </w:p>
    <w:p w:rsidR="00816781" w:rsidRDefault="00816781" w:rsidP="00816781">
      <w:pPr>
        <w:spacing w:before="100" w:beforeAutospacing="1" w:after="100" w:afterAutospacing="1"/>
        <w:jc w:val="both"/>
      </w:pPr>
      <w:proofErr w:type="gramStart"/>
      <w:r>
        <w:t>a</w:t>
      </w:r>
      <w:proofErr w:type="gramEnd"/>
      <w:r>
        <w:t>) Közterület: az épített környezet alakításáról és védelméről szóló 1997. évi LXXVIII törvény 2. § 13. pontjában meghatározott terület.</w:t>
      </w:r>
    </w:p>
    <w:p w:rsidR="00816781" w:rsidRDefault="00816781" w:rsidP="00816781">
      <w:pPr>
        <w:spacing w:before="100" w:beforeAutospacing="1" w:after="100" w:afterAutospacing="1"/>
        <w:jc w:val="both"/>
      </w:pPr>
      <w:r>
        <w:t>b) Közterületnév: a magyarországi hivatalos földrajzi nevek megállapításáról és nyilvántartásáról szóló 303/2007. (XI.14.) Korm. rendelet 2. § (3) bekezdés j) pontjában meghatározott név.</w:t>
      </w:r>
    </w:p>
    <w:p w:rsidR="00816781" w:rsidRDefault="00816781" w:rsidP="00816781">
      <w:pPr>
        <w:spacing w:before="100" w:beforeAutospacing="1" w:after="100" w:afterAutospacing="1"/>
        <w:jc w:val="both"/>
      </w:pPr>
      <w:r>
        <w:t>c) Házszám: olyan számmal, vagy számmal és betűvel meghatározott azonosító jel, amely az ingatlan-nyilvántartásban helyrajzi számmal jelölt ingatlanhoz tartozik, és amely az ingatlan térbeli beazonosítását szolgálja.</w:t>
      </w:r>
    </w:p>
    <w:p w:rsidR="00816781" w:rsidRDefault="00816781" w:rsidP="00816781">
      <w:pPr>
        <w:spacing w:before="100" w:beforeAutospacing="1" w:after="100" w:afterAutospacing="1"/>
        <w:jc w:val="center"/>
      </w:pPr>
      <w:r>
        <w:rPr>
          <w:b/>
          <w:bCs/>
        </w:rPr>
        <w:t>II. FEJEZET</w:t>
      </w:r>
    </w:p>
    <w:p w:rsidR="00816781" w:rsidRDefault="00816781" w:rsidP="00816781">
      <w:pPr>
        <w:spacing w:before="100" w:beforeAutospacing="1" w:after="100" w:afterAutospacing="1"/>
        <w:jc w:val="center"/>
      </w:pPr>
      <w:r>
        <w:rPr>
          <w:b/>
          <w:bCs/>
        </w:rPr>
        <w:t>A KÖZTERÜLETEK ELNEVEZÉSÉRE VONATKOZÓ SZABÁLYOK</w:t>
      </w:r>
    </w:p>
    <w:p w:rsidR="00816781" w:rsidRDefault="00816781" w:rsidP="00816781">
      <w:pPr>
        <w:spacing w:before="100" w:beforeAutospacing="1" w:after="100" w:afterAutospacing="1"/>
        <w:jc w:val="both"/>
      </w:pPr>
      <w:r>
        <w:rPr>
          <w:b/>
          <w:bCs/>
        </w:rPr>
        <w:t xml:space="preserve">3. § </w:t>
      </w:r>
      <w:r>
        <w:t xml:space="preserve">(1) </w:t>
      </w:r>
      <w:r w:rsidR="000F4126">
        <w:t>Kemenessömjén</w:t>
      </w:r>
      <w:r>
        <w:t xml:space="preserve"> község belterületén és a külterületi lakott helyeken a közterületeket el kell nevezni. A külterületi egyéb közterületeket elnevezéssel lehet ellátni.</w:t>
      </w:r>
    </w:p>
    <w:p w:rsidR="00816781" w:rsidRDefault="00816781" w:rsidP="00816781">
      <w:pPr>
        <w:spacing w:before="100" w:beforeAutospacing="1" w:after="100" w:afterAutospacing="1"/>
        <w:jc w:val="both"/>
      </w:pPr>
      <w:r>
        <w:t>(2) A közterület elnevezése előtagként a közterület nevéből, és utótagként a közterület jellegére utaló meghatározásból (út, utca, tér, köz, sor stb.) áll.</w:t>
      </w:r>
    </w:p>
    <w:p w:rsidR="00816781" w:rsidRDefault="00816781" w:rsidP="00816781">
      <w:pPr>
        <w:spacing w:before="100" w:beforeAutospacing="1" w:after="100" w:afterAutospacing="1"/>
        <w:jc w:val="both"/>
      </w:pPr>
      <w:r>
        <w:t>(3) A közterületek elnevezésénél figyelemmel kell lenni a helyi kulturális, természeti vagy történelmi értékekre, sajátosságokra, a magyar nyelvhelyesség követelményeire, továbbá arra, hogy az elnevezés közérthető legyen.</w:t>
      </w:r>
    </w:p>
    <w:p w:rsidR="00816781" w:rsidRDefault="00816781" w:rsidP="00816781">
      <w:pPr>
        <w:spacing w:before="100" w:beforeAutospacing="1" w:after="100" w:afterAutospacing="1"/>
        <w:jc w:val="both"/>
      </w:pPr>
      <w:r>
        <w:lastRenderedPageBreak/>
        <w:t xml:space="preserve"> (4) Az újonnan létesített közterület nevét a közterületnek a földhivatali ingatlan-nyilvántartásban történő bejegyzését követő egy éven belül meg kell állapítani.</w:t>
      </w:r>
    </w:p>
    <w:p w:rsidR="00816781" w:rsidRDefault="00816781" w:rsidP="00816781">
      <w:pPr>
        <w:spacing w:before="100" w:beforeAutospacing="1" w:after="100" w:afterAutospacing="1"/>
        <w:jc w:val="both"/>
      </w:pPr>
      <w:r>
        <w:t>(5) Ha egy közterület településrendezés, beépítés következtében két vagy több részre tagozódik, egységes közterületként megszűnik és – az elkülönüléstől számított egy éven belül – új nevet kell adni a közterületnek.</w:t>
      </w:r>
    </w:p>
    <w:p w:rsidR="00816781" w:rsidRDefault="00816781" w:rsidP="00816781">
      <w:pPr>
        <w:spacing w:before="100" w:beforeAutospacing="1" w:after="100" w:afterAutospacing="1"/>
        <w:jc w:val="both"/>
      </w:pPr>
      <w:r>
        <w:t>(6) A közterület nevének megváltoztatására a közterület elnevezésére vonatkozó szabályokat kell alkalmazni.</w:t>
      </w:r>
    </w:p>
    <w:p w:rsidR="00816781" w:rsidRDefault="00816781" w:rsidP="00816781">
      <w:pPr>
        <w:spacing w:before="100" w:beforeAutospacing="1" w:after="100" w:afterAutospacing="1"/>
        <w:jc w:val="both"/>
      </w:pPr>
      <w:r>
        <w:rPr>
          <w:b/>
          <w:bCs/>
        </w:rPr>
        <w:t xml:space="preserve">4. § </w:t>
      </w:r>
      <w:r>
        <w:t>(1) A közterületek elnevezésére, illetve annak megváltoztatására irányuló eljárás írásbeli kezdeményezés alapján hivatalból indulhat.</w:t>
      </w:r>
    </w:p>
    <w:p w:rsidR="00816781" w:rsidRDefault="00816781" w:rsidP="00816781">
      <w:pPr>
        <w:spacing w:before="100" w:beforeAutospacing="1" w:after="100" w:afterAutospacing="1"/>
        <w:jc w:val="both"/>
      </w:pPr>
      <w:r>
        <w:t xml:space="preserve">(2) A közterületek nevének megállapítása és megváltoztatása </w:t>
      </w:r>
      <w:r w:rsidR="000F4126">
        <w:t>Kemenessömjén</w:t>
      </w:r>
      <w:r>
        <w:t xml:space="preserve"> Község Önkormányzata Képviselő-testületének a hatáskörébe tartozik.</w:t>
      </w:r>
    </w:p>
    <w:p w:rsidR="00816781" w:rsidRDefault="00816781" w:rsidP="00816781">
      <w:pPr>
        <w:spacing w:before="100" w:beforeAutospacing="1" w:after="100" w:afterAutospacing="1"/>
        <w:jc w:val="both"/>
      </w:pPr>
      <w:r>
        <w:t>(3) A közterület elnevezéséről szóló képviselő-testületi döntést a helyben szokásos módon közzé kell tenni.</w:t>
      </w:r>
    </w:p>
    <w:p w:rsidR="00816781" w:rsidRDefault="00816781" w:rsidP="00816781">
      <w:pPr>
        <w:spacing w:before="100" w:beforeAutospacing="1" w:after="100" w:afterAutospacing="1"/>
        <w:jc w:val="both"/>
      </w:pPr>
      <w:r>
        <w:rPr>
          <w:b/>
          <w:bCs/>
        </w:rPr>
        <w:t xml:space="preserve">5. § </w:t>
      </w:r>
      <w:r>
        <w:t>(1) A közterületi névtábla kihelyezése, karbantartása és pótlása az önkormányzat feladata.</w:t>
      </w:r>
    </w:p>
    <w:p w:rsidR="00816781" w:rsidRDefault="00816781" w:rsidP="00816781">
      <w:pPr>
        <w:spacing w:before="100" w:beforeAutospacing="1" w:after="100" w:afterAutospacing="1"/>
        <w:jc w:val="both"/>
      </w:pPr>
      <w:r>
        <w:t>(2) A közterületi névtáblákat jól látható, az eligazodást, tájékoztatást segítő helyen, a helyszíni adottságok figyelembevételével kell elhelyezni.</w:t>
      </w:r>
    </w:p>
    <w:p w:rsidR="00816781" w:rsidRDefault="00816781" w:rsidP="00816781">
      <w:pPr>
        <w:spacing w:before="100" w:beforeAutospacing="1" w:after="100" w:afterAutospacing="1"/>
        <w:jc w:val="both"/>
      </w:pPr>
      <w:r>
        <w:t>(3) A régi elnevezést feltüntető névtáblákat a változásról szóló döntést követő egy évig átlós vonallal áthúzva az eredeti helyén kell hagyni. Az új elnevezést feltüntető névtáblákat közvetlenül a régi mellett kell elhelyezni.</w:t>
      </w:r>
    </w:p>
    <w:p w:rsidR="00816781" w:rsidRDefault="00816781" w:rsidP="00816781">
      <w:pPr>
        <w:spacing w:before="100" w:beforeAutospacing="1" w:after="100" w:afterAutospacing="1"/>
        <w:jc w:val="center"/>
      </w:pPr>
      <w:r>
        <w:rPr>
          <w:b/>
          <w:bCs/>
        </w:rPr>
        <w:t>III. FEJEZET</w:t>
      </w:r>
    </w:p>
    <w:p w:rsidR="00816781" w:rsidRDefault="00816781" w:rsidP="00816781">
      <w:pPr>
        <w:spacing w:before="100" w:beforeAutospacing="1" w:after="100" w:afterAutospacing="1"/>
        <w:jc w:val="center"/>
      </w:pPr>
      <w:r>
        <w:rPr>
          <w:b/>
          <w:bCs/>
        </w:rPr>
        <w:t>A HÁZSZÁM MEGÁLLAPÍTÁSÁRA VONATKOZÓ SZABÁLYOK</w:t>
      </w:r>
    </w:p>
    <w:p w:rsidR="00816781" w:rsidRDefault="00816781" w:rsidP="00816781">
      <w:pPr>
        <w:spacing w:before="100" w:beforeAutospacing="1" w:after="100" w:afterAutospacing="1"/>
        <w:jc w:val="both"/>
      </w:pPr>
      <w:r>
        <w:rPr>
          <w:b/>
          <w:bCs/>
        </w:rPr>
        <w:t xml:space="preserve">6. § </w:t>
      </w:r>
      <w:r>
        <w:t>(1) A névvel ellátott közterületeken az ingatlanokat házszámmal kell ellátni. A közterületen több ingatlan azonos számmal nem jelölhető.</w:t>
      </w:r>
    </w:p>
    <w:p w:rsidR="00816781" w:rsidRDefault="00816781" w:rsidP="00816781">
      <w:pPr>
        <w:spacing w:before="100" w:beforeAutospacing="1" w:after="100" w:afterAutospacing="1"/>
        <w:jc w:val="both"/>
      </w:pPr>
      <w:r>
        <w:t>(2) Külterületi ingatlant – közterületi elnevezés hiányában – helyrajzi számmal kell jelölni.</w:t>
      </w:r>
    </w:p>
    <w:p w:rsidR="00816781" w:rsidRDefault="00816781" w:rsidP="00816781">
      <w:pPr>
        <w:spacing w:before="100" w:beforeAutospacing="1" w:after="100" w:afterAutospacing="1"/>
        <w:jc w:val="both"/>
      </w:pPr>
      <w:r>
        <w:t>(3) A közterület házszám-megállapítását úgy kell elvégezni, hogy a számok a község központjától kifelé haladva 1-től kezdődően növekedjenek és az utca bal oldalán a páros, jobb oldalán a páratlan számok legyenek. Amennyiben ez a megoldás nem alkalmazható, az érintett közterület számozását a magasabb rendű közút irányából kell megkezdeni.</w:t>
      </w:r>
    </w:p>
    <w:p w:rsidR="00816781" w:rsidRDefault="00816781" w:rsidP="00816781">
      <w:pPr>
        <w:spacing w:before="100" w:beforeAutospacing="1" w:after="100" w:afterAutospacing="1"/>
        <w:jc w:val="both"/>
      </w:pPr>
      <w:r>
        <w:t xml:space="preserve">(4) A csak </w:t>
      </w:r>
      <w:proofErr w:type="spellStart"/>
      <w:r>
        <w:t>egyoldalon</w:t>
      </w:r>
      <w:proofErr w:type="spellEnd"/>
      <w:r>
        <w:t xml:space="preserve"> beépíthető közterület házszám-megállapítása 1-től kezdődően folyamatosan is történhet.</w:t>
      </w:r>
    </w:p>
    <w:p w:rsidR="00816781" w:rsidRDefault="00816781" w:rsidP="00816781">
      <w:pPr>
        <w:spacing w:before="100" w:beforeAutospacing="1" w:after="100" w:afterAutospacing="1"/>
        <w:jc w:val="both"/>
      </w:pPr>
      <w:r>
        <w:t>(5) Terek esetén a házszám-megállapítás 1-től kezdődően folyamatosan, az óramutató járásával megegyezően alakítandó ki.</w:t>
      </w:r>
    </w:p>
    <w:p w:rsidR="00816781" w:rsidRDefault="00816781" w:rsidP="00816781">
      <w:pPr>
        <w:spacing w:before="100" w:beforeAutospacing="1" w:after="100" w:afterAutospacing="1"/>
        <w:jc w:val="both"/>
      </w:pPr>
      <w:r>
        <w:t>(6) Saroktelek esetében csak annak az oldalnak kell házszámot megállapítani, amelyen a gyalogos közlekedésre alkalmas kapubejárat van.</w:t>
      </w:r>
    </w:p>
    <w:p w:rsidR="00816781" w:rsidRDefault="00816781" w:rsidP="00816781">
      <w:pPr>
        <w:spacing w:before="100" w:beforeAutospacing="1" w:after="100" w:afterAutospacing="1"/>
        <w:jc w:val="both"/>
      </w:pPr>
      <w:r>
        <w:lastRenderedPageBreak/>
        <w:t>(7) Amennyiben a (2) bekezdésben meghatározott számozás adott közterületen nem lehetséges, vagy a már kialakult helyzet indokolja, a házszámozás más, egyedileg meghatározott módon is történhet.</w:t>
      </w:r>
    </w:p>
    <w:p w:rsidR="00816781" w:rsidRDefault="00816781" w:rsidP="00816781">
      <w:pPr>
        <w:spacing w:before="100" w:beforeAutospacing="1" w:after="100" w:afterAutospacing="1"/>
        <w:jc w:val="both"/>
      </w:pPr>
      <w:r>
        <w:rPr>
          <w:b/>
          <w:bCs/>
        </w:rPr>
        <w:t xml:space="preserve">7. § </w:t>
      </w:r>
      <w:r>
        <w:t>(1) Az ingatlanok számozására arab számokat kell használni. Kisegítő jelzésként alátöréssel a magyar ABC ékezet nélküli betűi vagy arab számok is alkalmazhatóak.</w:t>
      </w:r>
    </w:p>
    <w:p w:rsidR="00816781" w:rsidRDefault="00816781" w:rsidP="00816781">
      <w:pPr>
        <w:spacing w:before="100" w:beforeAutospacing="1" w:after="100" w:afterAutospacing="1"/>
        <w:jc w:val="both"/>
      </w:pPr>
      <w:r>
        <w:t>(2) Telekfelosztás során keletkező új helyrajzi számú ingatlanok esetén a kisebb számú ingatlan marad az eredeti számon, a további ingatlanok számozását pedig alátöréssel a magyar ABC ékezet nélküli nagybetűinek alkalmazásával kell elvégezni.</w:t>
      </w:r>
    </w:p>
    <w:p w:rsidR="00816781" w:rsidRDefault="00816781" w:rsidP="00816781">
      <w:pPr>
        <w:spacing w:before="100" w:beforeAutospacing="1" w:after="100" w:afterAutospacing="1"/>
        <w:jc w:val="both"/>
      </w:pPr>
      <w:r>
        <w:t>(3) Telekegyesítés után az ingatlanok házszámát össze kell vonni. A házszámot úgy kell feltüntetni, hogy az egyesítés előtti legalacsonyabb és legmagasabb számot kötőjellel kell összekötni.</w:t>
      </w:r>
    </w:p>
    <w:p w:rsidR="00816781" w:rsidRDefault="00816781" w:rsidP="00816781">
      <w:pPr>
        <w:spacing w:before="100" w:beforeAutospacing="1" w:after="100" w:afterAutospacing="1"/>
        <w:jc w:val="both"/>
      </w:pPr>
      <w:r>
        <w:t>(4) Ha az ingatlanon újabb lakások létesülnek, akkor a többlakásos épület házszámának megállapítását úgy kell elvégezni, hogy meglévő házszámot meghagyva alátöréssel, a magyar ABC ékezet nélküli kisbetűivel kell az új lakásokat ellátni.</w:t>
      </w:r>
    </w:p>
    <w:p w:rsidR="00816781" w:rsidRDefault="00816781" w:rsidP="00816781">
      <w:pPr>
        <w:spacing w:before="100" w:beforeAutospacing="1" w:after="100" w:afterAutospacing="1"/>
        <w:jc w:val="both"/>
      </w:pPr>
      <w:r>
        <w:rPr>
          <w:b/>
          <w:bCs/>
        </w:rPr>
        <w:t xml:space="preserve">8. § </w:t>
      </w:r>
      <w:r>
        <w:t>(1) E rendelet 6-7. §</w:t>
      </w:r>
      <w:proofErr w:type="spellStart"/>
      <w:r>
        <w:t>-ainak</w:t>
      </w:r>
      <w:proofErr w:type="spellEnd"/>
      <w:r>
        <w:t xml:space="preserve"> rendelkezései a rendelet hatálybalépésekor már meglevő közterületek házszámozását nem érintik.</w:t>
      </w:r>
    </w:p>
    <w:p w:rsidR="00816781" w:rsidRDefault="00816781" w:rsidP="00816781">
      <w:pPr>
        <w:spacing w:before="100" w:beforeAutospacing="1" w:after="100" w:afterAutospacing="1"/>
        <w:jc w:val="both"/>
      </w:pPr>
      <w:r>
        <w:t>(2) A már megállapított házszámok megváltoztatására csak indokolt esetben, olyan rendezetlen állapot megszüntetése érdekében kerülhet sor, amely az ingatlanok azonosítását akadályozzák.</w:t>
      </w:r>
    </w:p>
    <w:p w:rsidR="00816781" w:rsidRDefault="00816781" w:rsidP="00816781">
      <w:pPr>
        <w:spacing w:before="100" w:beforeAutospacing="1" w:after="100" w:afterAutospacing="1"/>
        <w:jc w:val="both"/>
      </w:pPr>
      <w:r>
        <w:rPr>
          <w:b/>
          <w:bCs/>
        </w:rPr>
        <w:t xml:space="preserve">9. § </w:t>
      </w:r>
      <w:r>
        <w:t>(1) Az ingatlan házszámát a jegyző határozattal állapítja meg.</w:t>
      </w:r>
    </w:p>
    <w:p w:rsidR="00816781" w:rsidRDefault="00816781" w:rsidP="00816781">
      <w:pPr>
        <w:spacing w:before="100" w:beforeAutospacing="1" w:after="100" w:afterAutospacing="1"/>
        <w:jc w:val="both"/>
      </w:pPr>
      <w:r>
        <w:t>(2) A házszám-megállapításra irányuló eljárás írásbeli kezdeményezés alapján hivatalból indulhat.</w:t>
      </w:r>
    </w:p>
    <w:p w:rsidR="00816781" w:rsidRDefault="00816781" w:rsidP="00816781">
      <w:pPr>
        <w:spacing w:before="100" w:beforeAutospacing="1" w:after="100" w:afterAutospacing="1"/>
        <w:jc w:val="both"/>
      </w:pPr>
      <w:r>
        <w:t>(3) Több ingatlant érintő házszám-megállapítás közterületenként egy határozatban történik.</w:t>
      </w:r>
    </w:p>
    <w:p w:rsidR="00816781" w:rsidRDefault="00816781" w:rsidP="00816781">
      <w:pPr>
        <w:spacing w:before="100" w:beforeAutospacing="1" w:after="100" w:afterAutospacing="1"/>
        <w:jc w:val="both"/>
      </w:pPr>
      <w:r>
        <w:t>(4) A házszám megállapításáról szóló határozatot az érintett ingatlannal rendelkezni jogosultakon túl közölni kell az ingatlannal közvetlenül határos ingatlan tulajdonosaival, továbbá az ingatlan- vagy lakcímnyilvántartó hatóságokkal.</w:t>
      </w:r>
    </w:p>
    <w:p w:rsidR="00816781" w:rsidRDefault="00816781" w:rsidP="00816781">
      <w:pPr>
        <w:spacing w:before="100" w:beforeAutospacing="1" w:after="100" w:afterAutospacing="1"/>
        <w:jc w:val="both"/>
      </w:pPr>
      <w:r>
        <w:t>(5) A házszám-megállapítására a közigazgatási hatósági eljárás és szolgáltatás általános szabályairól szóló törvény rendelkezéseit kell alkalmazni.</w:t>
      </w:r>
    </w:p>
    <w:p w:rsidR="00816781" w:rsidRDefault="00816781" w:rsidP="00816781">
      <w:pPr>
        <w:spacing w:before="100" w:beforeAutospacing="1" w:after="100" w:afterAutospacing="1"/>
        <w:jc w:val="both"/>
      </w:pPr>
      <w:r>
        <w:rPr>
          <w:b/>
          <w:bCs/>
        </w:rPr>
        <w:t>10. §</w:t>
      </w:r>
      <w:r>
        <w:t> Az ingatlan tulajdonosa köteles az ingatlan házszámát, vagy – amennyiben az ingatlan más módon egyértelműen nem azonosítható – helyrajzi számát tartalmazó táblát (továbbiakban együtt: házszámtábla) az ingatlan utcafronti kerítésére, házfalára, vagy külön tartószerkezeten, a közterületről jól látható módon kihelyezni.6</w:t>
      </w:r>
    </w:p>
    <w:p w:rsidR="006F4EBD" w:rsidRDefault="006F4EBD" w:rsidP="00816781">
      <w:pPr>
        <w:spacing w:before="100" w:beforeAutospacing="1" w:after="100" w:afterAutospacing="1"/>
        <w:jc w:val="center"/>
        <w:rPr>
          <w:b/>
          <w:bCs/>
        </w:rPr>
      </w:pPr>
    </w:p>
    <w:p w:rsidR="006F4EBD" w:rsidRDefault="006F4EBD" w:rsidP="00816781">
      <w:pPr>
        <w:spacing w:before="100" w:beforeAutospacing="1" w:after="100" w:afterAutospacing="1"/>
        <w:jc w:val="center"/>
        <w:rPr>
          <w:b/>
          <w:bCs/>
        </w:rPr>
      </w:pPr>
    </w:p>
    <w:p w:rsidR="006F4EBD" w:rsidRDefault="006F4EBD" w:rsidP="00816781">
      <w:pPr>
        <w:spacing w:before="100" w:beforeAutospacing="1" w:after="100" w:afterAutospacing="1"/>
        <w:jc w:val="center"/>
        <w:rPr>
          <w:b/>
          <w:bCs/>
        </w:rPr>
      </w:pPr>
    </w:p>
    <w:p w:rsidR="00816781" w:rsidRDefault="00816781" w:rsidP="00816781">
      <w:pPr>
        <w:spacing w:before="100" w:beforeAutospacing="1" w:after="100" w:afterAutospacing="1"/>
        <w:jc w:val="center"/>
      </w:pPr>
      <w:bookmarkStart w:id="0" w:name="_GoBack"/>
      <w:bookmarkEnd w:id="0"/>
      <w:r>
        <w:rPr>
          <w:b/>
          <w:bCs/>
        </w:rPr>
        <w:lastRenderedPageBreak/>
        <w:t>IV. FEJEZET</w:t>
      </w:r>
    </w:p>
    <w:p w:rsidR="00816781" w:rsidRDefault="00816781" w:rsidP="00816781">
      <w:pPr>
        <w:spacing w:before="100" w:beforeAutospacing="1" w:after="100" w:afterAutospacing="1"/>
        <w:jc w:val="center"/>
      </w:pPr>
      <w:r>
        <w:rPr>
          <w:b/>
          <w:bCs/>
        </w:rPr>
        <w:t>ZÁRÓ RENDELKEZÉSEK</w:t>
      </w:r>
    </w:p>
    <w:p w:rsidR="00816781" w:rsidRDefault="00816781" w:rsidP="00816781">
      <w:pPr>
        <w:spacing w:before="100" w:beforeAutospacing="1" w:after="100" w:afterAutospacing="1"/>
        <w:jc w:val="both"/>
      </w:pPr>
      <w:r>
        <w:rPr>
          <w:b/>
          <w:bCs/>
        </w:rPr>
        <w:t xml:space="preserve">11. § </w:t>
      </w:r>
      <w:r>
        <w:rPr>
          <w:bCs/>
        </w:rPr>
        <w:t>(1)</w:t>
      </w:r>
      <w:r>
        <w:rPr>
          <w:b/>
          <w:bCs/>
        </w:rPr>
        <w:t xml:space="preserve"> </w:t>
      </w:r>
      <w:r>
        <w:t>Ez a rendelet a kihirdetését követő napon lép hatályba.  </w:t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0"/>
        <w:gridCol w:w="4710"/>
      </w:tblGrid>
      <w:tr w:rsidR="00816781" w:rsidTr="00816781">
        <w:tc>
          <w:tcPr>
            <w:tcW w:w="4708" w:type="dxa"/>
          </w:tcPr>
          <w:p w:rsidR="00816781" w:rsidRDefault="00816781">
            <w:pPr>
              <w:suppressAutoHyphens/>
              <w:snapToGrid w:val="0"/>
              <w:spacing w:before="20" w:after="20"/>
              <w:ind w:left="57" w:right="57"/>
              <w:jc w:val="center"/>
              <w:rPr>
                <w:rFonts w:eastAsia="MS Mincho"/>
                <w:sz w:val="18"/>
                <w:lang w:eastAsia="ar-SA"/>
              </w:rPr>
            </w:pPr>
          </w:p>
        </w:tc>
        <w:tc>
          <w:tcPr>
            <w:tcW w:w="4708" w:type="dxa"/>
          </w:tcPr>
          <w:p w:rsidR="00816781" w:rsidRDefault="00816781">
            <w:pPr>
              <w:suppressAutoHyphens/>
              <w:snapToGrid w:val="0"/>
              <w:spacing w:before="20" w:after="20"/>
              <w:ind w:left="57" w:right="57"/>
              <w:jc w:val="center"/>
              <w:rPr>
                <w:rFonts w:eastAsia="MS Mincho"/>
                <w:sz w:val="18"/>
                <w:lang w:eastAsia="ar-SA"/>
              </w:rPr>
            </w:pPr>
          </w:p>
        </w:tc>
      </w:tr>
      <w:tr w:rsidR="00816781" w:rsidTr="00816781">
        <w:tc>
          <w:tcPr>
            <w:tcW w:w="4708" w:type="dxa"/>
          </w:tcPr>
          <w:p w:rsidR="00816781" w:rsidRDefault="00816781">
            <w:pPr>
              <w:suppressAutoHyphens/>
              <w:snapToGrid w:val="0"/>
              <w:spacing w:before="20" w:after="20"/>
              <w:ind w:left="57" w:right="57"/>
              <w:jc w:val="center"/>
              <w:rPr>
                <w:rFonts w:eastAsia="MS Mincho"/>
                <w:lang w:eastAsia="ar-SA"/>
              </w:rPr>
            </w:pPr>
          </w:p>
        </w:tc>
        <w:tc>
          <w:tcPr>
            <w:tcW w:w="4708" w:type="dxa"/>
          </w:tcPr>
          <w:p w:rsidR="00816781" w:rsidRDefault="00816781">
            <w:pPr>
              <w:suppressAutoHyphens/>
              <w:snapToGrid w:val="0"/>
              <w:spacing w:before="20" w:after="20"/>
              <w:ind w:left="57" w:right="57"/>
              <w:jc w:val="center"/>
              <w:rPr>
                <w:rFonts w:eastAsia="MS Mincho"/>
                <w:lang w:eastAsia="ar-SA"/>
              </w:rPr>
            </w:pPr>
          </w:p>
        </w:tc>
      </w:tr>
      <w:tr w:rsidR="00816781" w:rsidTr="00816781">
        <w:tc>
          <w:tcPr>
            <w:tcW w:w="4708" w:type="dxa"/>
            <w:hideMark/>
          </w:tcPr>
          <w:p w:rsidR="00816781" w:rsidRDefault="000F4126">
            <w:pPr>
              <w:suppressAutoHyphens/>
              <w:snapToGrid w:val="0"/>
              <w:spacing w:before="20" w:after="20"/>
              <w:ind w:left="57" w:right="57"/>
              <w:jc w:val="center"/>
              <w:rPr>
                <w:bCs/>
                <w:iCs/>
                <w:lang w:eastAsia="ar-SA"/>
              </w:rPr>
            </w:pPr>
            <w:r>
              <w:rPr>
                <w:bCs/>
                <w:iCs/>
                <w:lang w:eastAsia="ar-SA"/>
              </w:rPr>
              <w:t>Kurucz Attila</w:t>
            </w:r>
          </w:p>
          <w:p w:rsidR="00816781" w:rsidRDefault="00816781">
            <w:pPr>
              <w:suppressAutoHyphens/>
              <w:spacing w:before="20" w:after="20"/>
              <w:ind w:left="57" w:right="57"/>
              <w:jc w:val="center"/>
              <w:rPr>
                <w:bCs/>
                <w:iCs/>
                <w:lang w:eastAsia="ar-SA"/>
              </w:rPr>
            </w:pPr>
            <w:r>
              <w:rPr>
                <w:bCs/>
                <w:iCs/>
                <w:lang w:eastAsia="ar-SA"/>
              </w:rPr>
              <w:t>polgármester</w:t>
            </w:r>
          </w:p>
        </w:tc>
        <w:tc>
          <w:tcPr>
            <w:tcW w:w="4708" w:type="dxa"/>
            <w:hideMark/>
          </w:tcPr>
          <w:p w:rsidR="00816781" w:rsidRDefault="00816781">
            <w:pPr>
              <w:suppressAutoHyphens/>
              <w:snapToGrid w:val="0"/>
              <w:spacing w:before="20" w:after="20"/>
              <w:ind w:left="57" w:right="57"/>
              <w:jc w:val="center"/>
              <w:rPr>
                <w:bCs/>
                <w:iCs/>
                <w:lang w:eastAsia="ar-SA"/>
              </w:rPr>
            </w:pPr>
            <w:r>
              <w:rPr>
                <w:bCs/>
                <w:iCs/>
                <w:lang w:eastAsia="ar-SA"/>
              </w:rPr>
              <w:t>Fehér Viktória</w:t>
            </w:r>
          </w:p>
          <w:p w:rsidR="00816781" w:rsidRDefault="00816781">
            <w:pPr>
              <w:suppressAutoHyphens/>
              <w:spacing w:before="20" w:after="20"/>
              <w:ind w:left="57" w:right="57"/>
              <w:jc w:val="center"/>
              <w:rPr>
                <w:bCs/>
                <w:iCs/>
                <w:lang w:eastAsia="ar-SA"/>
              </w:rPr>
            </w:pPr>
            <w:r>
              <w:rPr>
                <w:bCs/>
                <w:iCs/>
                <w:lang w:eastAsia="ar-SA"/>
              </w:rPr>
              <w:t xml:space="preserve"> jegyző</w:t>
            </w:r>
          </w:p>
        </w:tc>
      </w:tr>
    </w:tbl>
    <w:p w:rsidR="00816781" w:rsidRDefault="00816781" w:rsidP="00816781">
      <w:pPr>
        <w:tabs>
          <w:tab w:val="center" w:pos="2160"/>
          <w:tab w:val="center" w:pos="7020"/>
        </w:tabs>
        <w:suppressAutoHyphens/>
        <w:rPr>
          <w:b/>
          <w:bCs/>
          <w:i/>
          <w:iCs/>
          <w:lang w:eastAsia="ar-SA"/>
        </w:rPr>
      </w:pPr>
    </w:p>
    <w:p w:rsidR="00816781" w:rsidRDefault="00816781" w:rsidP="00816781">
      <w:pPr>
        <w:tabs>
          <w:tab w:val="left" w:pos="1980"/>
        </w:tabs>
      </w:pPr>
      <w:r>
        <w:t>Hirdetőtáblán történő kifüggesztéssel kihirdetve.</w:t>
      </w:r>
    </w:p>
    <w:p w:rsidR="00816781" w:rsidRDefault="00816781" w:rsidP="00816781">
      <w:pPr>
        <w:tabs>
          <w:tab w:val="left" w:pos="1980"/>
        </w:tabs>
      </w:pPr>
    </w:p>
    <w:p w:rsidR="00816781" w:rsidRDefault="000F4126" w:rsidP="00816781">
      <w:pPr>
        <w:tabs>
          <w:tab w:val="left" w:pos="1980"/>
        </w:tabs>
      </w:pPr>
      <w:r>
        <w:t>Kemenessömjén,</w:t>
      </w:r>
      <w:r w:rsidR="00816781">
        <w:t xml:space="preserve"> 2014. augusztus </w:t>
      </w:r>
      <w:r w:rsidR="006F4EBD">
        <w:t>29.</w:t>
      </w:r>
    </w:p>
    <w:p w:rsidR="00816781" w:rsidRDefault="00816781" w:rsidP="00816781">
      <w:pPr>
        <w:tabs>
          <w:tab w:val="left" w:pos="1980"/>
        </w:tabs>
      </w:pPr>
    </w:p>
    <w:p w:rsidR="00816781" w:rsidRDefault="00816781" w:rsidP="00816781">
      <w:pPr>
        <w:tabs>
          <w:tab w:val="left" w:pos="5529"/>
        </w:tabs>
      </w:pPr>
      <w:r>
        <w:tab/>
        <w:t xml:space="preserve">      </w:t>
      </w:r>
      <w:r>
        <w:tab/>
        <w:t>/:Fehér Viktória:/</w:t>
      </w:r>
    </w:p>
    <w:p w:rsidR="00816781" w:rsidRDefault="00816781" w:rsidP="00816781">
      <w:pPr>
        <w:tabs>
          <w:tab w:val="left" w:pos="6521"/>
        </w:tabs>
      </w:pPr>
      <w:r>
        <w:tab/>
        <w:t xml:space="preserve">    </w:t>
      </w:r>
      <w:proofErr w:type="gramStart"/>
      <w:r>
        <w:t>jegyző</w:t>
      </w:r>
      <w:proofErr w:type="gramEnd"/>
    </w:p>
    <w:p w:rsidR="00816781" w:rsidRDefault="00816781" w:rsidP="00816781"/>
    <w:p w:rsidR="00147687" w:rsidRDefault="00147687"/>
    <w:sectPr w:rsidR="00147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781"/>
    <w:rsid w:val="000F4126"/>
    <w:rsid w:val="00147687"/>
    <w:rsid w:val="006F4EBD"/>
    <w:rsid w:val="0081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6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6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918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Fehér Viktória</dc:creator>
  <cp:lastModifiedBy>Fehér Viktória</cp:lastModifiedBy>
  <cp:revision>2</cp:revision>
  <dcterms:created xsi:type="dcterms:W3CDTF">2014-09-09T11:48:00Z</dcterms:created>
  <dcterms:modified xsi:type="dcterms:W3CDTF">2014-09-09T11:48:00Z</dcterms:modified>
</cp:coreProperties>
</file>