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6C" w:rsidRPr="000E753D" w:rsidRDefault="008D286C" w:rsidP="008D286C">
      <w:pPr>
        <w:pStyle w:val="Listaszerbekezds"/>
        <w:widowControl/>
        <w:numPr>
          <w:ilvl w:val="3"/>
          <w:numId w:val="1"/>
        </w:num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t>melléklet</w:t>
      </w: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jc w:val="right"/>
        <w:rPr>
          <w:rFonts w:ascii="Times New Roman" w:hAnsi="Times New Roman"/>
          <w:sz w:val="24"/>
        </w:rPr>
      </w:pPr>
      <w:r w:rsidRPr="000E753D">
        <w:rPr>
          <w:rFonts w:ascii="Times New Roman" w:hAnsi="Times New Roman"/>
          <w:b/>
          <w:sz w:val="24"/>
        </w:rPr>
        <w:t>Településképi szempontból meghatározó területek lehatárolása</w:t>
      </w:r>
      <w:r w:rsidRPr="000E753D">
        <w:rPr>
          <w:rFonts w:ascii="Times New Roman" w:hAnsi="Times New Roman"/>
          <w:sz w:val="24"/>
        </w:rPr>
        <w:t xml:space="preserve"> </w:t>
      </w: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3"/>
        <w:gridCol w:w="6524"/>
        <w:gridCol w:w="1393"/>
      </w:tblGrid>
      <w:tr w:rsidR="008D286C" w:rsidRPr="000E753D" w:rsidTr="008D286C">
        <w:tc>
          <w:tcPr>
            <w:tcW w:w="1143" w:type="dxa"/>
            <w:shd w:val="clear" w:color="auto" w:fill="E6E6E6"/>
          </w:tcPr>
          <w:p w:rsidR="008D286C" w:rsidRPr="000E753D" w:rsidRDefault="008D286C" w:rsidP="008D286C">
            <w:pPr>
              <w:jc w:val="center"/>
              <w:rPr>
                <w:rFonts w:ascii="Times New Roman" w:hAnsi="Times New Roman"/>
              </w:rPr>
            </w:pPr>
            <w:r w:rsidRPr="000E753D">
              <w:rPr>
                <w:rFonts w:ascii="Times New Roman" w:hAnsi="Times New Roman"/>
              </w:rPr>
              <w:t>Rajzszám</w:t>
            </w:r>
          </w:p>
        </w:tc>
        <w:tc>
          <w:tcPr>
            <w:tcW w:w="6524" w:type="dxa"/>
            <w:shd w:val="clear" w:color="auto" w:fill="E6E6E6"/>
          </w:tcPr>
          <w:p w:rsidR="008D286C" w:rsidRPr="000E753D" w:rsidRDefault="008D286C" w:rsidP="008D286C">
            <w:pPr>
              <w:jc w:val="center"/>
              <w:rPr>
                <w:rFonts w:ascii="Times New Roman" w:hAnsi="Times New Roman"/>
              </w:rPr>
            </w:pPr>
            <w:r w:rsidRPr="000E753D">
              <w:rPr>
                <w:rFonts w:ascii="Times New Roman" w:hAnsi="Times New Roman"/>
              </w:rPr>
              <w:t>Rajz megnevezése</w:t>
            </w:r>
          </w:p>
        </w:tc>
        <w:tc>
          <w:tcPr>
            <w:tcW w:w="1393" w:type="dxa"/>
            <w:shd w:val="clear" w:color="auto" w:fill="E6E6E6"/>
          </w:tcPr>
          <w:p w:rsidR="008D286C" w:rsidRPr="000E753D" w:rsidRDefault="008D286C" w:rsidP="008D286C">
            <w:pPr>
              <w:jc w:val="center"/>
              <w:rPr>
                <w:rFonts w:ascii="Times New Roman" w:hAnsi="Times New Roman"/>
              </w:rPr>
            </w:pPr>
            <w:r w:rsidRPr="000E753D">
              <w:rPr>
                <w:rFonts w:ascii="Times New Roman" w:hAnsi="Times New Roman"/>
              </w:rPr>
              <w:t>Szerkesztési méretarány</w:t>
            </w:r>
          </w:p>
        </w:tc>
      </w:tr>
      <w:tr w:rsidR="008D286C" w:rsidRPr="000E753D" w:rsidTr="008D286C">
        <w:tc>
          <w:tcPr>
            <w:tcW w:w="9060" w:type="dxa"/>
            <w:gridSpan w:val="3"/>
            <w:vAlign w:val="center"/>
          </w:tcPr>
          <w:p w:rsidR="008D286C" w:rsidRPr="000E753D" w:rsidRDefault="008D286C" w:rsidP="008D286C">
            <w:pPr>
              <w:jc w:val="center"/>
              <w:rPr>
                <w:rFonts w:ascii="Times New Roman" w:hAnsi="Times New Roman"/>
              </w:rPr>
            </w:pPr>
          </w:p>
        </w:tc>
      </w:tr>
      <w:tr w:rsidR="008D286C" w:rsidRPr="000E753D" w:rsidTr="008D286C">
        <w:tc>
          <w:tcPr>
            <w:tcW w:w="1143" w:type="dxa"/>
            <w:vAlign w:val="center"/>
          </w:tcPr>
          <w:p w:rsidR="008D286C" w:rsidRPr="000E753D" w:rsidRDefault="008D286C" w:rsidP="008D28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4" w:type="dxa"/>
          </w:tcPr>
          <w:p w:rsidR="008D286C" w:rsidRPr="000E753D" w:rsidRDefault="008D286C" w:rsidP="008D286C">
            <w:pPr>
              <w:rPr>
                <w:rFonts w:ascii="Times New Roman" w:hAnsi="Times New Roman"/>
              </w:rPr>
            </w:pPr>
            <w:r w:rsidRPr="000E753D">
              <w:rPr>
                <w:rFonts w:ascii="Times New Roman" w:hAnsi="Times New Roman"/>
              </w:rPr>
              <w:t>Településképi szempontból meghatározó területek lehatárolása</w:t>
            </w:r>
          </w:p>
        </w:tc>
        <w:tc>
          <w:tcPr>
            <w:tcW w:w="1393" w:type="dxa"/>
            <w:vAlign w:val="center"/>
          </w:tcPr>
          <w:p w:rsidR="008D286C" w:rsidRPr="000E753D" w:rsidRDefault="008D286C" w:rsidP="008D286C">
            <w:pPr>
              <w:jc w:val="right"/>
              <w:rPr>
                <w:rFonts w:ascii="Times New Roman" w:hAnsi="Times New Roman"/>
              </w:rPr>
            </w:pPr>
            <w:r w:rsidRPr="000E753D">
              <w:rPr>
                <w:rFonts w:ascii="Times New Roman" w:hAnsi="Times New Roman"/>
              </w:rPr>
              <w:t>m=1:10.000</w:t>
            </w:r>
          </w:p>
        </w:tc>
      </w:tr>
    </w:tbl>
    <w:p w:rsidR="008D286C" w:rsidRPr="000E753D" w:rsidRDefault="008D286C" w:rsidP="008D286C">
      <w:pPr>
        <w:rPr>
          <w:rFonts w:ascii="Times New Roman" w:hAnsi="Times New Roman"/>
          <w:highlight w:val="yellow"/>
        </w:rPr>
      </w:pPr>
    </w:p>
    <w:p w:rsidR="008D286C" w:rsidRPr="000E753D" w:rsidRDefault="008D286C" w:rsidP="008D286C">
      <w:pPr>
        <w:rPr>
          <w:rFonts w:ascii="Times New Roman" w:hAnsi="Times New Roman"/>
          <w:u w:val="single"/>
        </w:rPr>
      </w:pPr>
      <w:r w:rsidRPr="000E753D">
        <w:rPr>
          <w:rFonts w:ascii="Times New Roman" w:hAnsi="Times New Roman"/>
          <w:u w:val="single"/>
        </w:rPr>
        <w:t>A papír dokumentáció egyes tervlapokat A/4, vagy A/3-as lapméretűre kicsinyített változataikban tartalmazza. A CD dokumentáció változatban ezek a tervlapok is a fenti méretaránynak megfelelő felbontással, szabadon nagyítható digitális pdf formátumban szerepelnek és így méretarányhelyesen nyomtathatóak ki. A papír térképek esetén a papírnyomat tényleges méretarányát a tervlapon szereplő mértékléccel előbb le kell ellenőrizni!</w:t>
      </w: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sz w:val="24"/>
        </w:rPr>
      </w:pP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sz w:val="24"/>
        </w:rPr>
      </w:pP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br w:type="page"/>
      </w:r>
    </w:p>
    <w:p w:rsidR="008D286C" w:rsidRPr="000E753D" w:rsidRDefault="008D286C" w:rsidP="008D286C">
      <w:pPr>
        <w:pStyle w:val="Listaszerbekezds"/>
        <w:widowControl/>
        <w:numPr>
          <w:ilvl w:val="3"/>
          <w:numId w:val="1"/>
        </w:num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lastRenderedPageBreak/>
        <w:t>melléklet</w:t>
      </w: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b/>
          <w:sz w:val="24"/>
        </w:rPr>
      </w:pP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t>Helyi védelem alatt álló építészeti értékek listája</w:t>
      </w:r>
    </w:p>
    <w:tbl>
      <w:tblPr>
        <w:tblW w:w="0" w:type="auto"/>
        <w:tblLayout w:type="fixed"/>
        <w:tblLook w:val="04A0"/>
      </w:tblPr>
      <w:tblGrid>
        <w:gridCol w:w="336"/>
        <w:gridCol w:w="3350"/>
        <w:gridCol w:w="2410"/>
        <w:gridCol w:w="1559"/>
      </w:tblGrid>
      <w:tr w:rsidR="008D286C" w:rsidRPr="000E753D" w:rsidTr="008D286C">
        <w:trPr>
          <w:trHeight w:hRule="exact" w:val="567"/>
        </w:trPr>
        <w:tc>
          <w:tcPr>
            <w:tcW w:w="336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0" w:type="dxa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cím</w:t>
            </w:r>
          </w:p>
        </w:tc>
        <w:tc>
          <w:tcPr>
            <w:tcW w:w="1559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hrsz.</w:t>
            </w:r>
          </w:p>
        </w:tc>
      </w:tr>
      <w:tr w:rsidR="008D286C" w:rsidRPr="000E753D" w:rsidTr="008D286C">
        <w:trPr>
          <w:trHeight w:hRule="exact" w:val="227"/>
        </w:trPr>
        <w:tc>
          <w:tcPr>
            <w:tcW w:w="336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350" w:type="dxa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Lakóépület</w:t>
            </w:r>
          </w:p>
        </w:tc>
        <w:tc>
          <w:tcPr>
            <w:tcW w:w="2410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Fő út 95.</w:t>
            </w:r>
          </w:p>
        </w:tc>
        <w:tc>
          <w:tcPr>
            <w:tcW w:w="1559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</w:tr>
      <w:tr w:rsidR="008D286C" w:rsidRPr="000E753D" w:rsidTr="008D286C">
        <w:trPr>
          <w:trHeight w:hRule="exact" w:val="567"/>
        </w:trPr>
        <w:tc>
          <w:tcPr>
            <w:tcW w:w="336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350" w:type="dxa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Egykori Anna-gőzmalom és környezete</w:t>
            </w:r>
          </w:p>
        </w:tc>
        <w:tc>
          <w:tcPr>
            <w:tcW w:w="2410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Csokonai utca 5/c.</w:t>
            </w:r>
          </w:p>
        </w:tc>
        <w:tc>
          <w:tcPr>
            <w:tcW w:w="1559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613</w:t>
            </w:r>
          </w:p>
        </w:tc>
      </w:tr>
      <w:tr w:rsidR="008D286C" w:rsidRPr="000E753D" w:rsidTr="008D286C">
        <w:trPr>
          <w:trHeight w:hRule="exact" w:val="567"/>
        </w:trPr>
        <w:tc>
          <w:tcPr>
            <w:tcW w:w="336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350" w:type="dxa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Református templom és környezete</w:t>
            </w:r>
          </w:p>
        </w:tc>
        <w:tc>
          <w:tcPr>
            <w:tcW w:w="2410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Kálvin tér 2.</w:t>
            </w:r>
          </w:p>
        </w:tc>
        <w:tc>
          <w:tcPr>
            <w:tcW w:w="1559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1572</w:t>
            </w:r>
          </w:p>
        </w:tc>
      </w:tr>
      <w:tr w:rsidR="008D286C" w:rsidRPr="000E753D" w:rsidTr="008D286C">
        <w:trPr>
          <w:trHeight w:hRule="exact" w:val="805"/>
        </w:trPr>
        <w:tc>
          <w:tcPr>
            <w:tcW w:w="336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350" w:type="dxa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Fővég területe</w:t>
            </w:r>
          </w:p>
        </w:tc>
        <w:tc>
          <w:tcPr>
            <w:tcW w:w="2410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Fő út 129-147. és 126-138/b.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 xml:space="preserve">Bercsényi utca 1-17. 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Huszai utca 1-17. és 2-10.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Luther utca 1-9. és 2-8.</w:t>
            </w:r>
          </w:p>
        </w:tc>
        <w:tc>
          <w:tcPr>
            <w:tcW w:w="1559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86C" w:rsidRPr="000E753D" w:rsidTr="008D286C">
        <w:trPr>
          <w:trHeight w:hRule="exact" w:val="1709"/>
        </w:trPr>
        <w:tc>
          <w:tcPr>
            <w:tcW w:w="336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350" w:type="dxa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Alvég területe</w:t>
            </w:r>
          </w:p>
        </w:tc>
        <w:tc>
          <w:tcPr>
            <w:tcW w:w="2410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Fő út 52-82.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Hold utca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Ráday utca 2-36. és 1-17/a.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Óvoda utca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Pázmány utca 2-30. és 1-21.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Petőfi utca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Andrássy út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Hajnal utca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Temető utca</w:t>
            </w:r>
          </w:p>
        </w:tc>
        <w:tc>
          <w:tcPr>
            <w:tcW w:w="1559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86C" w:rsidRPr="000E753D" w:rsidTr="008D286C">
        <w:trPr>
          <w:trHeight w:hRule="exact" w:val="567"/>
        </w:trPr>
        <w:tc>
          <w:tcPr>
            <w:tcW w:w="336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3350" w:type="dxa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Pázmány utcai lakóépületek utcaképi védelme</w:t>
            </w:r>
          </w:p>
        </w:tc>
        <w:tc>
          <w:tcPr>
            <w:tcW w:w="2410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Pázmány utca 38.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Pázmány utca 40.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Pázmány utca 42.</w:t>
            </w:r>
          </w:p>
        </w:tc>
        <w:tc>
          <w:tcPr>
            <w:tcW w:w="1559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723/4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722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721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86C" w:rsidRPr="000E753D" w:rsidTr="008D286C">
        <w:trPr>
          <w:trHeight w:hRule="exact" w:val="2408"/>
        </w:trPr>
        <w:tc>
          <w:tcPr>
            <w:tcW w:w="336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3350" w:type="dxa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utcai utcakép</w:t>
            </w:r>
          </w:p>
        </w:tc>
        <w:tc>
          <w:tcPr>
            <w:tcW w:w="2410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7.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9.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11.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13.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15.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17.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19.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21.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23.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25.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27.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29.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Kinizsi utca 31.</w:t>
            </w:r>
          </w:p>
        </w:tc>
        <w:tc>
          <w:tcPr>
            <w:tcW w:w="1559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1713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1712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1711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1710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1709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1708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1707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1706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1705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1702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1701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</w:tr>
      <w:tr w:rsidR="008D286C" w:rsidRPr="000E753D" w:rsidTr="008D286C">
        <w:trPr>
          <w:trHeight w:hRule="exact" w:val="1563"/>
        </w:trPr>
        <w:tc>
          <w:tcPr>
            <w:tcW w:w="336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3350" w:type="dxa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Kálvin utcai utcakép</w:t>
            </w:r>
          </w:p>
        </w:tc>
        <w:tc>
          <w:tcPr>
            <w:tcW w:w="2410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Kálvin utca 25.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Kálvin utca 27.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Köves utca 1/a.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Köves utca 2.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Kálvin utca 29.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Kálvin utca 31.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Kálvin utca 33.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Kálvin utca 35.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1542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1538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1536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1468/1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1472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1473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1474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1475</w:t>
            </w:r>
          </w:p>
        </w:tc>
      </w:tr>
      <w:tr w:rsidR="008D286C" w:rsidRPr="000E753D" w:rsidTr="008D286C">
        <w:trPr>
          <w:trHeight w:hRule="exact" w:val="847"/>
        </w:trPr>
        <w:tc>
          <w:tcPr>
            <w:tcW w:w="336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3350" w:type="dxa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Újiskola utcai utcakép</w:t>
            </w:r>
          </w:p>
        </w:tc>
        <w:tc>
          <w:tcPr>
            <w:tcW w:w="2410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Újiskola utca 10.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Újiskola utca 12.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Újiskola utca 14.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Újiskola utca 16.</w:t>
            </w:r>
          </w:p>
        </w:tc>
        <w:tc>
          <w:tcPr>
            <w:tcW w:w="1559" w:type="dxa"/>
          </w:tcPr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8D286C" w:rsidRPr="000E753D" w:rsidRDefault="008D286C" w:rsidP="008D286C">
            <w:pPr>
              <w:pStyle w:val="Listaszerbekezds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12/1</w:t>
            </w:r>
          </w:p>
        </w:tc>
      </w:tr>
    </w:tbl>
    <w:p w:rsidR="008D286C" w:rsidRPr="000E753D" w:rsidRDefault="008D286C" w:rsidP="008D286C">
      <w:pPr>
        <w:widowControl/>
        <w:jc w:val="left"/>
        <w:rPr>
          <w:rFonts w:ascii="Times New Roman" w:hAnsi="Times New Roman"/>
          <w:b/>
          <w:sz w:val="24"/>
          <w:highlight w:val="yellow"/>
        </w:rPr>
      </w:pPr>
    </w:p>
    <w:p w:rsidR="008D286C" w:rsidRPr="000E753D" w:rsidRDefault="008D286C" w:rsidP="008D286C">
      <w:pPr>
        <w:widowControl/>
        <w:jc w:val="left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br w:type="page"/>
      </w:r>
    </w:p>
    <w:p w:rsidR="008D286C" w:rsidRPr="000E753D" w:rsidRDefault="008D286C" w:rsidP="008D286C">
      <w:pPr>
        <w:pStyle w:val="Listaszerbekezds"/>
        <w:widowControl/>
        <w:numPr>
          <w:ilvl w:val="3"/>
          <w:numId w:val="1"/>
        </w:num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lastRenderedPageBreak/>
        <w:t>melléklet</w:t>
      </w: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t xml:space="preserve">Helyi védelem alatt álló természeti értékek listája </w:t>
      </w: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b/>
          <w:sz w:val="24"/>
        </w:rPr>
      </w:pPr>
    </w:p>
    <w:p w:rsidR="008D286C" w:rsidRPr="001350A2" w:rsidRDefault="008D286C" w:rsidP="008D286C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</w:rPr>
      </w:pPr>
      <w:r w:rsidRPr="001350A2">
        <w:rPr>
          <w:rFonts w:ascii="Times New Roman" w:hAnsi="Times New Roman"/>
          <w:b/>
          <w:bCs/>
          <w:sz w:val="24"/>
        </w:rPr>
        <w:t>1. Orchideás-rét Természetvédelmi Terület (08/2 hrsz.)</w:t>
      </w:r>
    </w:p>
    <w:p w:rsidR="008D286C" w:rsidRPr="001350A2" w:rsidRDefault="008D286C" w:rsidP="008D286C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sz w:val="24"/>
        </w:rPr>
      </w:pPr>
    </w:p>
    <w:p w:rsidR="008D286C" w:rsidRPr="001350A2" w:rsidRDefault="008D286C" w:rsidP="008D286C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sz w:val="24"/>
        </w:rPr>
      </w:pPr>
      <w:r w:rsidRPr="001350A2">
        <w:rPr>
          <w:rFonts w:ascii="Times New Roman" w:hAnsi="Times New Roman"/>
          <w:sz w:val="24"/>
        </w:rPr>
        <w:t>Az Orchideás-rét HTT (08/2 hrsz, területe kb. 0,2 ha) a Pamut-tó keleti partja és a Fenyves között található, kb. 50 x 40 m-es földterület. A sík részen homoki láprét található, főként fűzbokrokkal, fehér nyárral és erdei fenyővel benépesítve, a meredek homokoldalt pedig nyílt, mészkedvelő homokpusztai vegetáció borítja.</w:t>
      </w:r>
    </w:p>
    <w:p w:rsidR="008D286C" w:rsidRPr="001350A2" w:rsidRDefault="008D286C" w:rsidP="008D286C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sz w:val="24"/>
        </w:rPr>
      </w:pPr>
    </w:p>
    <w:p w:rsidR="008D286C" w:rsidRPr="001350A2" w:rsidRDefault="008D286C" w:rsidP="008D286C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sz w:val="24"/>
        </w:rPr>
      </w:pPr>
      <w:r w:rsidRPr="001350A2">
        <w:rPr>
          <w:rFonts w:ascii="Times New Roman" w:hAnsi="Times New Roman"/>
          <w:sz w:val="24"/>
        </w:rPr>
        <w:t xml:space="preserve">Védett talajlakó orchideák (pl. mocsári nőszőfű) tömegesen fordulnak elő az Orchideás-réten. </w:t>
      </w:r>
    </w:p>
    <w:p w:rsidR="008D286C" w:rsidRPr="001350A2" w:rsidRDefault="008D286C" w:rsidP="008D286C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sz w:val="24"/>
        </w:rPr>
      </w:pPr>
    </w:p>
    <w:p w:rsidR="008D286C" w:rsidRPr="001350A2" w:rsidRDefault="008D286C" w:rsidP="008D286C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sz w:val="24"/>
        </w:rPr>
      </w:pPr>
      <w:r w:rsidRPr="001350A2">
        <w:rPr>
          <w:rFonts w:ascii="Times New Roman" w:hAnsi="Times New Roman"/>
          <w:sz w:val="24"/>
        </w:rPr>
        <w:t>A gombafajok közül a nyílt homokpusztán a mérgező tengerparti susulyka (</w:t>
      </w:r>
      <w:r w:rsidRPr="001350A2">
        <w:rPr>
          <w:rFonts w:ascii="Times New Roman" w:hAnsi="Times New Roman"/>
          <w:i/>
          <w:iCs/>
          <w:sz w:val="24"/>
        </w:rPr>
        <w:t>Inocybe heimii</w:t>
      </w:r>
      <w:r w:rsidRPr="001350A2">
        <w:rPr>
          <w:rFonts w:ascii="Times New Roman" w:hAnsi="Times New Roman"/>
          <w:sz w:val="24"/>
        </w:rPr>
        <w:t>) és a homoki papsapkagomba (</w:t>
      </w:r>
      <w:r w:rsidRPr="001350A2">
        <w:rPr>
          <w:rFonts w:ascii="Times New Roman" w:hAnsi="Times New Roman"/>
          <w:i/>
          <w:iCs/>
          <w:sz w:val="24"/>
        </w:rPr>
        <w:t>Helvella leucopus</w:t>
      </w:r>
      <w:r w:rsidRPr="001350A2">
        <w:rPr>
          <w:rFonts w:ascii="Times New Roman" w:hAnsi="Times New Roman"/>
          <w:sz w:val="24"/>
        </w:rPr>
        <w:t>) fordul elő, a homoki lápréten pedig egy pirosas színű nedűgomba faj, feltehetően a feketedő nedűgomba (</w:t>
      </w:r>
      <w:r w:rsidRPr="001350A2">
        <w:rPr>
          <w:rFonts w:ascii="Times New Roman" w:hAnsi="Times New Roman"/>
          <w:i/>
          <w:iCs/>
          <w:sz w:val="24"/>
        </w:rPr>
        <w:t>Hygrocybe nigrescens</w:t>
      </w:r>
      <w:r w:rsidRPr="001350A2">
        <w:rPr>
          <w:rFonts w:ascii="Times New Roman" w:hAnsi="Times New Roman"/>
          <w:sz w:val="24"/>
        </w:rPr>
        <w:t>) és egy ritka pöfeteg-féle, a vörösbarna kocsonyáspöfeteg (</w:t>
      </w:r>
      <w:r w:rsidRPr="001350A2">
        <w:rPr>
          <w:rFonts w:ascii="Times New Roman" w:hAnsi="Times New Roman"/>
          <w:i/>
          <w:iCs/>
          <w:sz w:val="24"/>
        </w:rPr>
        <w:t>Mycenastrum corium</w:t>
      </w:r>
      <w:r w:rsidRPr="001350A2">
        <w:rPr>
          <w:rFonts w:ascii="Times New Roman" w:hAnsi="Times New Roman"/>
          <w:sz w:val="24"/>
        </w:rPr>
        <w:t xml:space="preserve">) él. </w:t>
      </w:r>
    </w:p>
    <w:p w:rsidR="008D286C" w:rsidRPr="001350A2" w:rsidRDefault="008D286C" w:rsidP="008D286C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sz w:val="24"/>
        </w:rPr>
      </w:pPr>
    </w:p>
    <w:p w:rsidR="008D286C" w:rsidRPr="001350A2" w:rsidRDefault="008D286C" w:rsidP="008D286C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sz w:val="24"/>
        </w:rPr>
      </w:pPr>
    </w:p>
    <w:p w:rsidR="008D286C" w:rsidRPr="001350A2" w:rsidRDefault="008D286C" w:rsidP="008D286C">
      <w:pPr>
        <w:pStyle w:val="Listaszerbekezds"/>
        <w:widowControl/>
        <w:numPr>
          <w:ilvl w:val="3"/>
          <w:numId w:val="2"/>
        </w:numPr>
        <w:autoSpaceDE w:val="0"/>
        <w:autoSpaceDN w:val="0"/>
        <w:adjustRightInd w:val="0"/>
        <w:ind w:left="284" w:hanging="142"/>
        <w:rPr>
          <w:rFonts w:ascii="Times New Roman" w:hAnsi="Times New Roman"/>
          <w:sz w:val="24"/>
        </w:rPr>
      </w:pPr>
      <w:r w:rsidRPr="001350A2">
        <w:rPr>
          <w:rFonts w:ascii="Times New Roman" w:hAnsi="Times New Roman"/>
          <w:sz w:val="24"/>
        </w:rPr>
        <w:t xml:space="preserve">Az Orchideás-rét HTT elhelyezkedése </w:t>
      </w:r>
    </w:p>
    <w:p w:rsidR="008D286C" w:rsidRPr="000E753D" w:rsidRDefault="008D286C" w:rsidP="008D286C">
      <w:pPr>
        <w:widowControl/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 w:rsidRPr="008D326E">
        <w:rPr>
          <w:noProof/>
        </w:rPr>
        <w:drawing>
          <wp:inline distT="0" distB="0" distL="0" distR="0">
            <wp:extent cx="2222500" cy="2543686"/>
            <wp:effectExtent l="0" t="0" r="635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957" cy="255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53D">
        <w:rPr>
          <w:rFonts w:ascii="Times New Roman" w:hAnsi="Times New Roman"/>
          <w:b/>
          <w:sz w:val="24"/>
        </w:rPr>
        <w:t xml:space="preserve"> </w:t>
      </w:r>
    </w:p>
    <w:p w:rsidR="008D286C" w:rsidRPr="000E753D" w:rsidRDefault="008D286C" w:rsidP="008D286C">
      <w:pPr>
        <w:widowControl/>
        <w:jc w:val="left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br w:type="page"/>
      </w:r>
    </w:p>
    <w:p w:rsidR="008D286C" w:rsidRPr="001350A2" w:rsidRDefault="008D286C" w:rsidP="008D286C">
      <w:pPr>
        <w:widowControl/>
        <w:autoSpaceDE w:val="0"/>
        <w:autoSpaceDN w:val="0"/>
        <w:adjustRightInd w:val="0"/>
        <w:rPr>
          <w:rFonts w:ascii="Times New Roman" w:hAnsi="Times New Roman"/>
          <w:sz w:val="24"/>
          <w:szCs w:val="20"/>
        </w:rPr>
      </w:pPr>
      <w:r w:rsidRPr="001350A2">
        <w:rPr>
          <w:rFonts w:ascii="Times New Roman" w:hAnsi="Times New Roman"/>
          <w:sz w:val="24"/>
          <w:szCs w:val="20"/>
        </w:rPr>
        <w:lastRenderedPageBreak/>
        <w:t>Az orchideás-rét területén található egyedi védelem alatt álló fajok (2013. évi adatok):</w:t>
      </w:r>
    </w:p>
    <w:p w:rsidR="008D286C" w:rsidRPr="000E753D" w:rsidRDefault="008D286C" w:rsidP="008D286C">
      <w:pPr>
        <w:widowControl/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36"/>
        <w:gridCol w:w="1134"/>
        <w:gridCol w:w="1134"/>
        <w:gridCol w:w="1221"/>
        <w:gridCol w:w="1400"/>
      </w:tblGrid>
      <w:tr w:rsidR="008D286C" w:rsidRPr="000E753D" w:rsidTr="008D286C">
        <w:trPr>
          <w:trHeight w:val="273"/>
        </w:trPr>
        <w:tc>
          <w:tcPr>
            <w:tcW w:w="3936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b/>
                <w:bCs/>
                <w:szCs w:val="20"/>
              </w:rPr>
              <w:t xml:space="preserve">Az Orchideás-rét védett természeti értékei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b/>
                <w:bCs/>
                <w:szCs w:val="20"/>
              </w:rPr>
              <w:t>Virágzási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b/>
                <w:bCs/>
                <w:szCs w:val="20"/>
              </w:rPr>
              <w:t>idő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b/>
                <w:bCs/>
                <w:szCs w:val="20"/>
              </w:rPr>
              <w:t>Természetvédelmi érték</w:t>
            </w:r>
          </w:p>
        </w:tc>
        <w:tc>
          <w:tcPr>
            <w:tcW w:w="1221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b/>
                <w:bCs/>
                <w:szCs w:val="20"/>
              </w:rPr>
              <w:t>Állomány</w:t>
            </w:r>
          </w:p>
        </w:tc>
        <w:tc>
          <w:tcPr>
            <w:tcW w:w="1400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b/>
                <w:bCs/>
                <w:szCs w:val="20"/>
              </w:rPr>
              <w:t>Természetvédelmi érték x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b/>
                <w:bCs/>
                <w:szCs w:val="20"/>
              </w:rPr>
              <w:t>állomány</w:t>
            </w:r>
          </w:p>
        </w:tc>
      </w:tr>
      <w:tr w:rsidR="008D286C" w:rsidRPr="000E753D" w:rsidTr="008D286C">
        <w:trPr>
          <w:trHeight w:val="175"/>
        </w:trPr>
        <w:tc>
          <w:tcPr>
            <w:tcW w:w="3936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Hússzínű ujjaskosbor 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i/>
                <w:iCs/>
                <w:szCs w:val="20"/>
              </w:rPr>
              <w:t xml:space="preserve">(Dactylorhiza incarnata)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máj-jún.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10 000.- Ft </w:t>
            </w:r>
          </w:p>
        </w:tc>
        <w:tc>
          <w:tcPr>
            <w:tcW w:w="1221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>8 tő</w:t>
            </w:r>
          </w:p>
        </w:tc>
        <w:tc>
          <w:tcPr>
            <w:tcW w:w="1400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80 000.- Ft </w:t>
            </w:r>
          </w:p>
        </w:tc>
      </w:tr>
      <w:tr w:rsidR="008D286C" w:rsidRPr="000E753D" w:rsidTr="008D286C">
        <w:trPr>
          <w:trHeight w:val="175"/>
        </w:trPr>
        <w:tc>
          <w:tcPr>
            <w:tcW w:w="3936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Vitézkosbor 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i/>
                <w:iCs/>
                <w:szCs w:val="20"/>
              </w:rPr>
              <w:t xml:space="preserve">(Orchis militaris)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máj-jún.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10 000.- Ft </w:t>
            </w:r>
          </w:p>
        </w:tc>
        <w:tc>
          <w:tcPr>
            <w:tcW w:w="1221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>4 tő</w:t>
            </w:r>
          </w:p>
        </w:tc>
        <w:tc>
          <w:tcPr>
            <w:tcW w:w="1400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40 000.- Ft </w:t>
            </w:r>
          </w:p>
        </w:tc>
      </w:tr>
      <w:tr w:rsidR="008D286C" w:rsidRPr="000E753D" w:rsidTr="008D286C">
        <w:trPr>
          <w:trHeight w:val="175"/>
        </w:trPr>
        <w:tc>
          <w:tcPr>
            <w:tcW w:w="3936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Mocsári kosbor 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(Orchis laxiflora subsp. palustris)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jún-júl.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10 000.- Ft </w:t>
            </w:r>
          </w:p>
        </w:tc>
        <w:tc>
          <w:tcPr>
            <w:tcW w:w="1221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>1 tő*</w:t>
            </w:r>
          </w:p>
        </w:tc>
        <w:tc>
          <w:tcPr>
            <w:tcW w:w="1400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10 000.- Ft </w:t>
            </w:r>
          </w:p>
        </w:tc>
      </w:tr>
      <w:tr w:rsidR="008D286C" w:rsidRPr="000E753D" w:rsidTr="008D286C">
        <w:trPr>
          <w:trHeight w:val="174"/>
        </w:trPr>
        <w:tc>
          <w:tcPr>
            <w:tcW w:w="3936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Mocsári nőszőfű 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(Epipactis palustris)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jún-aug.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5 000.- Ft </w:t>
            </w:r>
          </w:p>
        </w:tc>
        <w:tc>
          <w:tcPr>
            <w:tcW w:w="1221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>~ 1500 tő**</w:t>
            </w:r>
          </w:p>
        </w:tc>
        <w:tc>
          <w:tcPr>
            <w:tcW w:w="1400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7 500 000.- Ft </w:t>
            </w:r>
          </w:p>
        </w:tc>
      </w:tr>
      <w:tr w:rsidR="008D286C" w:rsidRPr="000E753D" w:rsidTr="008D286C">
        <w:trPr>
          <w:trHeight w:val="175"/>
        </w:trPr>
        <w:tc>
          <w:tcPr>
            <w:tcW w:w="3936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Kisvirágú pacsirtafű 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(Polygala amarella)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ápr-jún.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5 000.- Ft </w:t>
            </w:r>
          </w:p>
        </w:tc>
        <w:tc>
          <w:tcPr>
            <w:tcW w:w="1221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>~ 30 tő</w:t>
            </w:r>
          </w:p>
        </w:tc>
        <w:tc>
          <w:tcPr>
            <w:tcW w:w="1400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150 000.- Ft </w:t>
            </w:r>
          </w:p>
        </w:tc>
      </w:tr>
      <w:tr w:rsidR="008D286C" w:rsidRPr="000E753D" w:rsidTr="008D286C">
        <w:trPr>
          <w:trHeight w:val="175"/>
        </w:trPr>
        <w:tc>
          <w:tcPr>
            <w:tcW w:w="3936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Mocsári kígyófű 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(Triglochin palustre)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jún-szept.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2 000.- Ft </w:t>
            </w:r>
          </w:p>
        </w:tc>
        <w:tc>
          <w:tcPr>
            <w:tcW w:w="1221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>~ 30 tő</w:t>
            </w:r>
          </w:p>
        </w:tc>
        <w:tc>
          <w:tcPr>
            <w:tcW w:w="1400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60 000.- Ft </w:t>
            </w:r>
          </w:p>
        </w:tc>
      </w:tr>
      <w:tr w:rsidR="008D286C" w:rsidRPr="000E753D" w:rsidTr="008D286C">
        <w:trPr>
          <w:trHeight w:val="174"/>
        </w:trPr>
        <w:tc>
          <w:tcPr>
            <w:tcW w:w="3936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Homoki imola 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(Centaurea arenaria subsp. Tauscheri)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jún-szept.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10 000.- Ft </w:t>
            </w:r>
          </w:p>
        </w:tc>
        <w:tc>
          <w:tcPr>
            <w:tcW w:w="1221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>2 tő</w:t>
            </w:r>
          </w:p>
        </w:tc>
        <w:tc>
          <w:tcPr>
            <w:tcW w:w="1400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20 000.- Ft </w:t>
            </w:r>
          </w:p>
        </w:tc>
      </w:tr>
      <w:tr w:rsidR="008D286C" w:rsidRPr="000E753D" w:rsidTr="008D286C">
        <w:trPr>
          <w:trHeight w:val="175"/>
        </w:trPr>
        <w:tc>
          <w:tcPr>
            <w:tcW w:w="3936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Fényes poloskamag 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(Corispermum nitidum)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júl-szept.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2 000.- Ft </w:t>
            </w:r>
          </w:p>
        </w:tc>
        <w:tc>
          <w:tcPr>
            <w:tcW w:w="1221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>3 tő</w:t>
            </w:r>
          </w:p>
        </w:tc>
        <w:tc>
          <w:tcPr>
            <w:tcW w:w="1400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6 000.- Ft </w:t>
            </w:r>
          </w:p>
        </w:tc>
      </w:tr>
      <w:tr w:rsidR="008D286C" w:rsidRPr="000E753D" w:rsidTr="008D286C">
        <w:trPr>
          <w:trHeight w:val="175"/>
        </w:trPr>
        <w:tc>
          <w:tcPr>
            <w:tcW w:w="3936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Fürgegyík </w:t>
            </w:r>
          </w:p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(Lacerta agilis)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------- </w:t>
            </w:r>
          </w:p>
        </w:tc>
        <w:tc>
          <w:tcPr>
            <w:tcW w:w="1134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10 000.- Ft </w:t>
            </w:r>
          </w:p>
        </w:tc>
        <w:tc>
          <w:tcPr>
            <w:tcW w:w="1221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>nincs adat</w:t>
            </w:r>
          </w:p>
        </w:tc>
        <w:tc>
          <w:tcPr>
            <w:tcW w:w="1400" w:type="dxa"/>
          </w:tcPr>
          <w:p w:rsidR="008D286C" w:rsidRPr="001350A2" w:rsidRDefault="008D286C" w:rsidP="008D286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Cs w:val="20"/>
              </w:rPr>
            </w:pPr>
            <w:r w:rsidRPr="001350A2">
              <w:rPr>
                <w:rFonts w:ascii="Times New Roman" w:hAnsi="Times New Roman"/>
                <w:szCs w:val="20"/>
              </w:rPr>
              <w:t xml:space="preserve">nincs adat </w:t>
            </w:r>
          </w:p>
        </w:tc>
      </w:tr>
    </w:tbl>
    <w:p w:rsidR="008D286C" w:rsidRPr="000E753D" w:rsidRDefault="008D286C" w:rsidP="008D286C">
      <w:pPr>
        <w:widowControl/>
        <w:autoSpaceDE w:val="0"/>
        <w:autoSpaceDN w:val="0"/>
        <w:adjustRightInd w:val="0"/>
        <w:rPr>
          <w:rFonts w:ascii="Times New Roman" w:hAnsi="Times New Roman"/>
          <w:b/>
          <w:szCs w:val="20"/>
        </w:rPr>
      </w:pPr>
    </w:p>
    <w:p w:rsidR="008D286C" w:rsidRPr="001350A2" w:rsidRDefault="008D286C" w:rsidP="008D286C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sz w:val="16"/>
          <w:szCs w:val="16"/>
        </w:rPr>
      </w:pPr>
      <w:r w:rsidRPr="001350A2">
        <w:rPr>
          <w:rFonts w:ascii="Times New Roman" w:hAnsi="Times New Roman"/>
          <w:sz w:val="16"/>
          <w:szCs w:val="16"/>
        </w:rPr>
        <w:t xml:space="preserve">* 2008. évi adat (az orchideák gyakran évekig lappanganak, ezért előfordulása nem zárható ki) </w:t>
      </w:r>
    </w:p>
    <w:p w:rsidR="008D286C" w:rsidRPr="000E753D" w:rsidRDefault="008D286C" w:rsidP="008D286C">
      <w:pPr>
        <w:widowControl/>
        <w:autoSpaceDE w:val="0"/>
        <w:autoSpaceDN w:val="0"/>
        <w:adjustRightInd w:val="0"/>
        <w:rPr>
          <w:rFonts w:ascii="Times New Roman" w:hAnsi="Times New Roman"/>
          <w:b/>
          <w:szCs w:val="20"/>
        </w:rPr>
      </w:pPr>
      <w:r w:rsidRPr="001350A2">
        <w:rPr>
          <w:rFonts w:ascii="Times New Roman" w:hAnsi="Times New Roman"/>
          <w:sz w:val="16"/>
          <w:szCs w:val="16"/>
        </w:rPr>
        <w:t>** Mivel rizómával terjedő növény, az egyedszám ennél kevesebb, azonban ez nem állapítható meg pontosan.</w:t>
      </w:r>
    </w:p>
    <w:p w:rsidR="008D286C" w:rsidRPr="000E753D" w:rsidRDefault="008D286C" w:rsidP="008D286C">
      <w:pPr>
        <w:widowControl/>
        <w:jc w:val="left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br w:type="page"/>
      </w:r>
    </w:p>
    <w:p w:rsidR="008D286C" w:rsidRPr="000E753D" w:rsidRDefault="008D286C" w:rsidP="008D286C">
      <w:pPr>
        <w:pStyle w:val="Listaszerbekezds"/>
        <w:widowControl/>
        <w:numPr>
          <w:ilvl w:val="3"/>
          <w:numId w:val="1"/>
        </w:num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lastRenderedPageBreak/>
        <w:t>melléklet</w:t>
      </w: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b/>
          <w:sz w:val="24"/>
        </w:rPr>
      </w:pPr>
      <w:r w:rsidRPr="000E753D">
        <w:rPr>
          <w:rFonts w:ascii="Times New Roman" w:hAnsi="Times New Roman"/>
          <w:b/>
          <w:sz w:val="24"/>
        </w:rPr>
        <w:t>A legfontosabb magyarországi őshonos fa és cserjefajok jegyzéke</w:t>
      </w: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b/>
          <w:sz w:val="24"/>
        </w:rPr>
      </w:pPr>
    </w:p>
    <w:p w:rsidR="008D286C" w:rsidRPr="000E753D" w:rsidRDefault="008D286C" w:rsidP="008D286C">
      <w:pPr>
        <w:rPr>
          <w:rFonts w:ascii="Times New Roman" w:hAnsi="Times New Roman"/>
        </w:rPr>
      </w:pPr>
      <w:r w:rsidRPr="000E753D">
        <w:rPr>
          <w:rFonts w:ascii="Times New Roman" w:hAnsi="Times New Roman"/>
        </w:rPr>
        <w:t xml:space="preserve">A következő felsorolás összefoglalóan tartalmazza a legfontosabb magyarországi őshonos fa és cserjefajok jegyzékét, melyet az adott tájra jellemző társulásoknak, valamint a termőhelyi adottságoknak megfelelően kell alkalmazni.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5"/>
        <w:gridCol w:w="4605"/>
      </w:tblGrid>
      <w:tr w:rsidR="008D286C" w:rsidRPr="000E753D" w:rsidTr="008D286C">
        <w:tc>
          <w:tcPr>
            <w:tcW w:w="4605" w:type="dxa"/>
            <w:shd w:val="clear" w:color="auto" w:fill="E6E6E6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tudományos (latin) elnevezés</w:t>
            </w:r>
          </w:p>
        </w:tc>
        <w:tc>
          <w:tcPr>
            <w:tcW w:w="4605" w:type="dxa"/>
            <w:shd w:val="clear" w:color="auto" w:fill="E6E6E6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magyar elnevezés</w:t>
            </w:r>
          </w:p>
        </w:tc>
      </w:tr>
      <w:tr w:rsidR="008D286C" w:rsidRPr="000E753D" w:rsidTr="008D286C">
        <w:tc>
          <w:tcPr>
            <w:tcW w:w="9210" w:type="dxa"/>
            <w:gridSpan w:val="2"/>
            <w:shd w:val="clear" w:color="auto" w:fill="E6E6E6"/>
          </w:tcPr>
          <w:p w:rsidR="008D286C" w:rsidRPr="000E753D" w:rsidRDefault="008D286C" w:rsidP="008D28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lombos fák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Acer campestre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mezei juhar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Acer platanoides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korai juhar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Acer pseudoplatanus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hegyi juhar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Acer tataricum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tatár juhar, feketegyűrű juhar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Alnus glutinosa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enyves éger, mézgás éger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Alnus incana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hamvas éger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Betula pendula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nyír, bibircses nyír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Betula pubescens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szőrös nyír, pelyhes nyír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Carpinus betulus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gyertyán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Carpinus orientalis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keleti gyertyán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Castanea sativa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szelídgesztenye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Cerasus avium (Prunus avium)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vadcseresznye, madárcseresznye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Cerasus mahaleb (Prunus mahaleb)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sajmeggy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Fagus sylvatica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bükk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Fraxinus angustifolia ssp. pannonica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magyar kőris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Fraxinus excelsior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magas kőris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Fraxinus ornus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virágos kőris, mannakőris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Juglans regia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dió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Malus sylvestris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vadalma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Padus avium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zelnicemeggy, májusfa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Populus alba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fehér nyár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Populus canescens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szürke nyár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Populus nigra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fekete nyár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Populus tremula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rezgő nyár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Pyrus pyraster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vadkörte, vackor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Quercus cerris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csertölgy, cserfa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Quercus farnetto (Q. frainetto, Q. conferta)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magyar tölgy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Quercus petraea (Q. sessiliflora)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kocsánytalan tölgy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Quercus pubescens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molyhos tölgy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Quercus robur (Q. pedunculata)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kocsányos tölgy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Salix alba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fehér fűz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Sorbus aria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lisztes berkenye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Sorbus aucuparia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madárberkenye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Sorbus dégenii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Sorbus domestica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házi berkenye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Sorbus pseudolatifolia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Sorbus rédliana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Sorbus semiincisa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budai berkenye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Sorbus torminalis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barkóca berkenye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Tilia cordata (T. parviflora)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kislevelű hárs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Tilia platyphyllos (T. grandifolia)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nagylevelű hárs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Tilia tomentosa (T. argentea)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ezüst hárs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Ulmus glabra (Ulmus montana, Ulmus scabra)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hegyi szil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Ulmus laevis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vénic szil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Ulmus minor (Ulmus campestris)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mezei szil</w:t>
            </w:r>
          </w:p>
        </w:tc>
      </w:tr>
      <w:tr w:rsidR="008D286C" w:rsidRPr="000E753D" w:rsidTr="008D286C">
        <w:tc>
          <w:tcPr>
            <w:tcW w:w="9210" w:type="dxa"/>
            <w:gridSpan w:val="2"/>
            <w:shd w:val="clear" w:color="auto" w:fill="E6E6E6"/>
          </w:tcPr>
          <w:p w:rsidR="008D286C" w:rsidRPr="000E753D" w:rsidRDefault="008D286C" w:rsidP="008D28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tűlevelű fajok (fenyők)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Abies alba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jegenyefenyő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Juniperus communis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boróka, gyalogfenyő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Larix decidua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vörösfenyő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Picea abies (Picea excelsa)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lucfenyő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Pinus sylvestris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erdei fenyő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Taxus baccata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tiszafa</w:t>
            </w:r>
          </w:p>
        </w:tc>
      </w:tr>
      <w:tr w:rsidR="008D286C" w:rsidRPr="000E753D" w:rsidTr="008D286C">
        <w:tc>
          <w:tcPr>
            <w:tcW w:w="9210" w:type="dxa"/>
            <w:gridSpan w:val="2"/>
            <w:shd w:val="clear" w:color="auto" w:fill="E6E6E6"/>
          </w:tcPr>
          <w:p w:rsidR="008D286C" w:rsidRPr="000E753D" w:rsidRDefault="008D286C" w:rsidP="008D28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lombos cserjék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Alnus viridis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havasi éger, zöld éger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Amelanchier ovalis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fanyarka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Amygdalus nana (Prunus tenella)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törpe mandula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Artemisia alba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sziklai üröm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Berberis vulgaris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borbolya, sóskafa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Calluna vulgaris (Erica vulgaris)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csarab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Cerasus fruticosa (Prunus fruticosa)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csepleszmeggy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Clematis vitalba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erdei iszalag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Colutea arborescens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pukkanó dudafürt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Cornus mas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húsos som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Cornus sanguinea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veresgyűrű som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Coronilla emerus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lastRenderedPageBreak/>
              <w:t>Corylus avellana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mogyoró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Cotinus coggygria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cserszömörce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Cotoneaster integerrimus (C. vulgaris)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szirti madárbirs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Cotoneaster nigrum (C. melanocarpa)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fekete madárbirs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Cotoneaster nebrodensis (C. tomentosa, C. orientalis)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nagylevelű madárbirs, gyapjas madárbirs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Crataegus laevigata (C. oxyacantha)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kétbibés galagonya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Crataegus monogyna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egybibés galagonya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Crataegus nigra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fekete galagonya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Crataegus pentagyna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ötbibés galagonya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Cytisus ausrtiacus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buglyos zanót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Cytisus hirsutus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borzas zanót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Cytisus nigricans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fürtös zanót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Cytisus decumbens (C. procumbens)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Cytisus supinus (C. capitalus)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gombos zanót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Daphne cneorum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henyeboroszlán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Daphne laureola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babérboroszlán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Daphne mezereum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farkasboroszlán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Erica carnea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alpesi erika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Euonymus europaeus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csíkos kecskerágó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Euonymus verrucosus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bibircses kecskerágó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Frangula alnus (Rhamnus frangula)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kutyabenge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Genista tinctoria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festő rekettye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Hedera helix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borostyán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Helianthemum numullarium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napvirág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Hippophae rhamnoides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homoktövis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Laburnum anagyroides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sárgaakác, aranyeső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Ligustrum vulgare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közönséges fagyal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Lonicera caprifolium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jerikói lonc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Lonicera xylosteum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ükörke lonc, ükörke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Prunus spinosa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kökény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Rhamnus catharticus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varjútövis (benge)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Ribes alpinum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havasi ribiszke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Ribes uva-crispa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Rosa canina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gyepűrózsa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Salix caprea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kecskefűz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Salix cinerea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rekettyefűz, hamvas fűz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Salix eleagnos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ciglefűz, parti fűz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Salix fragilis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törékeny fűz csőrege fűz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Salix pentandra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babérfűz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Salix purpurea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csigolyafűz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Salix rosmarinifolia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serevényfűz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Salix triandra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mandulalevelű fűz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Salix viminalis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kosárkötő fűz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Sambucus nigra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fekete bodza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Sambucus racemosa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fürtös bodza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Sarothamnus scoparius (Cytisus scoparius)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seprőzanót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Spiraea media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szirti gyöngyvessző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Spiraea salicifolia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fűzlevelű gyöngyvessző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Staphylea pinnata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mogyorós hólyagfa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Viburnum lantana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ostorménfa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Viburnum opulus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kányabangita</w:t>
            </w:r>
          </w:p>
        </w:tc>
      </w:tr>
      <w:tr w:rsidR="008D286C" w:rsidRPr="000E753D" w:rsidTr="008D286C"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Vitis sylvestris</w:t>
            </w:r>
          </w:p>
        </w:tc>
        <w:tc>
          <w:tcPr>
            <w:tcW w:w="4605" w:type="dxa"/>
            <w:shd w:val="clear" w:color="auto" w:fill="auto"/>
          </w:tcPr>
          <w:p w:rsidR="008D286C" w:rsidRPr="000E753D" w:rsidRDefault="008D286C" w:rsidP="008D286C">
            <w:pPr>
              <w:rPr>
                <w:rFonts w:ascii="Times New Roman" w:hAnsi="Times New Roman"/>
                <w:sz w:val="16"/>
                <w:szCs w:val="16"/>
              </w:rPr>
            </w:pPr>
            <w:r w:rsidRPr="000E753D">
              <w:rPr>
                <w:rFonts w:ascii="Times New Roman" w:hAnsi="Times New Roman"/>
                <w:sz w:val="16"/>
                <w:szCs w:val="16"/>
              </w:rPr>
              <w:t>ligeti szőlő</w:t>
            </w:r>
          </w:p>
        </w:tc>
      </w:tr>
    </w:tbl>
    <w:p w:rsidR="008D286C" w:rsidRPr="000E753D" w:rsidRDefault="008D286C" w:rsidP="008D286C"/>
    <w:p w:rsidR="008D286C" w:rsidRPr="000E753D" w:rsidRDefault="008D286C" w:rsidP="008D286C">
      <w:pPr>
        <w:rPr>
          <w:rFonts w:ascii="Times New Roman" w:hAnsi="Times New Roman"/>
        </w:rPr>
      </w:pPr>
      <w:r w:rsidRPr="000E753D">
        <w:rPr>
          <w:rFonts w:ascii="Times New Roman" w:hAnsi="Times New Roman"/>
        </w:rPr>
        <w:t>megjegyzés:</w:t>
      </w:r>
    </w:p>
    <w:p w:rsidR="008D286C" w:rsidRPr="000E753D" w:rsidRDefault="008D286C" w:rsidP="008D286C">
      <w:pPr>
        <w:rPr>
          <w:rFonts w:ascii="Times New Roman" w:hAnsi="Times New Roman"/>
        </w:rPr>
      </w:pPr>
      <w:r w:rsidRPr="000E753D">
        <w:rPr>
          <w:rFonts w:ascii="Times New Roman" w:hAnsi="Times New Roman"/>
        </w:rPr>
        <w:t>A fenti, valamennyi magyarországi tájtípusra vonatkozó listából „az adott tájegységre jellemző” fajok kiválasztását a településen készítendő erdészeti, tájrendezési és kertépítészeti tervezés során kell meghatározni!</w:t>
      </w:r>
    </w:p>
    <w:p w:rsidR="008D286C" w:rsidRPr="000E753D" w:rsidRDefault="008D286C" w:rsidP="008D286C">
      <w:pPr>
        <w:pStyle w:val="Listaszerbekezds"/>
        <w:widowControl/>
        <w:autoSpaceDE w:val="0"/>
        <w:autoSpaceDN w:val="0"/>
        <w:adjustRightInd w:val="0"/>
        <w:ind w:left="284"/>
        <w:rPr>
          <w:rFonts w:ascii="Times New Roman" w:hAnsi="Times New Roman"/>
          <w:b/>
          <w:sz w:val="24"/>
        </w:rPr>
      </w:pPr>
    </w:p>
    <w:p w:rsidR="008E2A11" w:rsidRDefault="008E2A11"/>
    <w:sectPr w:rsidR="008E2A11" w:rsidSect="00DA3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30" w:rsidRDefault="00BC3830" w:rsidP="008D286C">
      <w:r>
        <w:separator/>
      </w:r>
    </w:p>
  </w:endnote>
  <w:endnote w:type="continuationSeparator" w:id="0">
    <w:p w:rsidR="00BC3830" w:rsidRDefault="00BC3830" w:rsidP="008D2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567"/>
      <w:gridCol w:w="3260"/>
      <w:gridCol w:w="1418"/>
      <w:gridCol w:w="3260"/>
      <w:gridCol w:w="567"/>
    </w:tblGrid>
    <w:tr w:rsidR="008D286C" w:rsidRPr="00EF4B93" w:rsidTr="008D286C">
      <w:tc>
        <w:tcPr>
          <w:tcW w:w="567" w:type="dxa"/>
          <w:shd w:val="clear" w:color="auto" w:fill="auto"/>
          <w:vAlign w:val="center"/>
        </w:tcPr>
        <w:p w:rsidR="008D286C" w:rsidRPr="00EF4B93" w:rsidRDefault="008D286C" w:rsidP="008D286C">
          <w:pPr>
            <w:pStyle w:val="llb"/>
            <w:tabs>
              <w:tab w:val="clear" w:pos="4536"/>
              <w:tab w:val="clear" w:pos="9072"/>
            </w:tabs>
            <w:spacing w:before="40"/>
            <w:jc w:val="left"/>
            <w:rPr>
              <w:sz w:val="16"/>
              <w:szCs w:val="16"/>
            </w:rPr>
          </w:pPr>
        </w:p>
      </w:tc>
      <w:tc>
        <w:tcPr>
          <w:tcW w:w="3260" w:type="dxa"/>
          <w:shd w:val="clear" w:color="auto" w:fill="auto"/>
          <w:vAlign w:val="center"/>
        </w:tcPr>
        <w:p w:rsidR="008D286C" w:rsidRPr="006F0484" w:rsidRDefault="008D286C" w:rsidP="008D286C">
          <w:pPr>
            <w:pStyle w:val="llb"/>
            <w:tabs>
              <w:tab w:val="clear" w:pos="4536"/>
              <w:tab w:val="clear" w:pos="9072"/>
            </w:tabs>
            <w:spacing w:before="40"/>
            <w:jc w:val="left"/>
            <w:rPr>
              <w:i/>
              <w:sz w:val="14"/>
              <w:szCs w:val="14"/>
            </w:rPr>
          </w:pPr>
          <w:r w:rsidRPr="00455705">
            <w:rPr>
              <w:rFonts w:cs="Arial"/>
              <w:i/>
              <w:iCs/>
              <w:sz w:val="14"/>
              <w:szCs w:val="14"/>
            </w:rPr>
            <w:t xml:space="preserve">file: </w:t>
          </w:r>
          <w:fldSimple w:instr=" FILENAME  \* MERGEFORMAT ">
            <w:r w:rsidR="005A6387">
              <w:rPr>
                <w:rFonts w:cs="Arial"/>
                <w:i/>
                <w:iCs/>
                <w:noProof/>
                <w:sz w:val="14"/>
                <w:szCs w:val="14"/>
              </w:rPr>
              <w:t>melléklet</w:t>
            </w:r>
          </w:fldSimple>
        </w:p>
      </w:tc>
      <w:tc>
        <w:tcPr>
          <w:tcW w:w="1418" w:type="dxa"/>
          <w:shd w:val="clear" w:color="auto" w:fill="auto"/>
          <w:vAlign w:val="center"/>
        </w:tcPr>
        <w:p w:rsidR="008D286C" w:rsidRPr="00EF4B93" w:rsidRDefault="008D286C" w:rsidP="008D286C">
          <w:pPr>
            <w:pStyle w:val="llb"/>
            <w:tabs>
              <w:tab w:val="clear" w:pos="4536"/>
              <w:tab w:val="clear" w:pos="9072"/>
            </w:tabs>
            <w:spacing w:before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719329" cy="121920"/>
                <wp:effectExtent l="0" t="0" r="5080" b="0"/>
                <wp:docPr id="9" name="Kép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terv-text-smallest.png"/>
                        <pic:cNvPicPr/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9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shd w:val="clear" w:color="auto" w:fill="auto"/>
          <w:vAlign w:val="center"/>
        </w:tcPr>
        <w:p w:rsidR="008D286C" w:rsidRPr="00EF4B93" w:rsidRDefault="008D286C" w:rsidP="008D286C">
          <w:pPr>
            <w:pStyle w:val="llb"/>
            <w:tabs>
              <w:tab w:val="clear" w:pos="4536"/>
              <w:tab w:val="clear" w:pos="9072"/>
            </w:tabs>
            <w:spacing w:before="40"/>
            <w:jc w:val="right"/>
            <w:rPr>
              <w:sz w:val="16"/>
              <w:szCs w:val="16"/>
            </w:rPr>
          </w:pPr>
        </w:p>
      </w:tc>
      <w:tc>
        <w:tcPr>
          <w:tcW w:w="567" w:type="dxa"/>
          <w:shd w:val="clear" w:color="auto" w:fill="auto"/>
          <w:vAlign w:val="center"/>
        </w:tcPr>
        <w:p w:rsidR="008D286C" w:rsidRPr="00EF4B93" w:rsidRDefault="00783AAA" w:rsidP="008D286C">
          <w:pPr>
            <w:pStyle w:val="llb"/>
            <w:tabs>
              <w:tab w:val="clear" w:pos="4536"/>
              <w:tab w:val="clear" w:pos="9072"/>
            </w:tabs>
            <w:spacing w:before="40"/>
            <w:jc w:val="right"/>
            <w:rPr>
              <w:sz w:val="16"/>
              <w:szCs w:val="16"/>
            </w:rPr>
          </w:pPr>
          <w:r w:rsidRPr="00EF4B93">
            <w:rPr>
              <w:rStyle w:val="Oldalszm"/>
              <w:sz w:val="16"/>
              <w:szCs w:val="16"/>
            </w:rPr>
            <w:fldChar w:fldCharType="begin"/>
          </w:r>
          <w:r w:rsidR="008D286C" w:rsidRPr="00EF4B93">
            <w:rPr>
              <w:rStyle w:val="Oldalszm"/>
              <w:sz w:val="16"/>
              <w:szCs w:val="16"/>
            </w:rPr>
            <w:instrText xml:space="preserve">PAGE  </w:instrText>
          </w:r>
          <w:r w:rsidRPr="00EF4B93">
            <w:rPr>
              <w:rStyle w:val="Oldalszm"/>
              <w:sz w:val="16"/>
              <w:szCs w:val="16"/>
            </w:rPr>
            <w:fldChar w:fldCharType="separate"/>
          </w:r>
          <w:r w:rsidR="008D286C">
            <w:rPr>
              <w:rStyle w:val="Oldalszm"/>
              <w:noProof/>
              <w:sz w:val="16"/>
              <w:szCs w:val="16"/>
            </w:rPr>
            <w:t>22</w:t>
          </w:r>
          <w:r w:rsidRPr="00EF4B93">
            <w:rPr>
              <w:rStyle w:val="Oldalszm"/>
              <w:sz w:val="16"/>
              <w:szCs w:val="16"/>
            </w:rPr>
            <w:fldChar w:fldCharType="end"/>
          </w:r>
        </w:p>
      </w:tc>
    </w:tr>
  </w:tbl>
  <w:p w:rsidR="008D286C" w:rsidRPr="00132296" w:rsidRDefault="008D286C" w:rsidP="008D286C">
    <w:pPr>
      <w:pStyle w:val="llb"/>
      <w:ind w:right="360" w:firstLine="36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1E0"/>
    </w:tblPr>
    <w:tblGrid>
      <w:gridCol w:w="567"/>
      <w:gridCol w:w="3260"/>
      <w:gridCol w:w="1418"/>
      <w:gridCol w:w="3260"/>
      <w:gridCol w:w="567"/>
    </w:tblGrid>
    <w:tr w:rsidR="008D286C" w:rsidRPr="00EF4B93" w:rsidTr="005A6387">
      <w:tc>
        <w:tcPr>
          <w:tcW w:w="567" w:type="dxa"/>
          <w:shd w:val="clear" w:color="auto" w:fill="auto"/>
          <w:vAlign w:val="center"/>
        </w:tcPr>
        <w:p w:rsidR="008D286C" w:rsidRPr="00EF4B93" w:rsidRDefault="008D286C" w:rsidP="008D286C">
          <w:pPr>
            <w:pStyle w:val="llb"/>
            <w:tabs>
              <w:tab w:val="clear" w:pos="4536"/>
              <w:tab w:val="clear" w:pos="9072"/>
            </w:tabs>
            <w:spacing w:before="40"/>
            <w:jc w:val="left"/>
            <w:rPr>
              <w:sz w:val="16"/>
              <w:szCs w:val="16"/>
            </w:rPr>
          </w:pPr>
          <w:bookmarkStart w:id="0" w:name="_GoBack"/>
        </w:p>
      </w:tc>
      <w:tc>
        <w:tcPr>
          <w:tcW w:w="3260" w:type="dxa"/>
          <w:shd w:val="clear" w:color="auto" w:fill="auto"/>
          <w:vAlign w:val="center"/>
        </w:tcPr>
        <w:p w:rsidR="008D286C" w:rsidRPr="006F0484" w:rsidRDefault="008D286C" w:rsidP="008D286C">
          <w:pPr>
            <w:pStyle w:val="llb"/>
            <w:tabs>
              <w:tab w:val="clear" w:pos="4536"/>
              <w:tab w:val="clear" w:pos="9072"/>
            </w:tabs>
            <w:spacing w:before="40"/>
            <w:jc w:val="left"/>
            <w:rPr>
              <w:i/>
              <w:sz w:val="14"/>
              <w:szCs w:val="14"/>
            </w:rPr>
          </w:pPr>
        </w:p>
      </w:tc>
      <w:tc>
        <w:tcPr>
          <w:tcW w:w="1418" w:type="dxa"/>
          <w:shd w:val="clear" w:color="auto" w:fill="auto"/>
          <w:vAlign w:val="center"/>
        </w:tcPr>
        <w:p w:rsidR="008D286C" w:rsidRPr="00EF4B93" w:rsidRDefault="008D286C" w:rsidP="008D286C">
          <w:pPr>
            <w:pStyle w:val="llb"/>
            <w:tabs>
              <w:tab w:val="clear" w:pos="4536"/>
              <w:tab w:val="clear" w:pos="9072"/>
            </w:tabs>
            <w:spacing w:before="40"/>
            <w:jc w:val="center"/>
            <w:rPr>
              <w:sz w:val="16"/>
              <w:szCs w:val="16"/>
            </w:rPr>
          </w:pPr>
        </w:p>
      </w:tc>
      <w:tc>
        <w:tcPr>
          <w:tcW w:w="3260" w:type="dxa"/>
          <w:shd w:val="clear" w:color="auto" w:fill="auto"/>
          <w:vAlign w:val="center"/>
        </w:tcPr>
        <w:p w:rsidR="008D286C" w:rsidRPr="00EF4B93" w:rsidRDefault="008D286C" w:rsidP="008D286C">
          <w:pPr>
            <w:pStyle w:val="llb"/>
            <w:tabs>
              <w:tab w:val="clear" w:pos="4536"/>
              <w:tab w:val="clear" w:pos="9072"/>
            </w:tabs>
            <w:spacing w:before="40"/>
            <w:jc w:val="right"/>
            <w:rPr>
              <w:sz w:val="16"/>
              <w:szCs w:val="16"/>
            </w:rPr>
          </w:pPr>
        </w:p>
      </w:tc>
      <w:tc>
        <w:tcPr>
          <w:tcW w:w="567" w:type="dxa"/>
          <w:shd w:val="clear" w:color="auto" w:fill="auto"/>
          <w:vAlign w:val="center"/>
        </w:tcPr>
        <w:p w:rsidR="008D286C" w:rsidRPr="00EF4B93" w:rsidRDefault="008D286C" w:rsidP="008D286C">
          <w:pPr>
            <w:pStyle w:val="llb"/>
            <w:tabs>
              <w:tab w:val="clear" w:pos="4536"/>
              <w:tab w:val="clear" w:pos="9072"/>
            </w:tabs>
            <w:spacing w:before="40"/>
            <w:jc w:val="right"/>
            <w:rPr>
              <w:sz w:val="16"/>
              <w:szCs w:val="16"/>
            </w:rPr>
          </w:pPr>
        </w:p>
      </w:tc>
    </w:tr>
    <w:bookmarkEnd w:id="0"/>
  </w:tbl>
  <w:p w:rsidR="008D286C" w:rsidRPr="009921AF" w:rsidRDefault="008D286C" w:rsidP="008D286C">
    <w:pPr>
      <w:pStyle w:val="llb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6C" w:rsidRDefault="008D286C" w:rsidP="008D286C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30" w:rsidRDefault="00BC3830" w:rsidP="008D286C">
      <w:r>
        <w:separator/>
      </w:r>
    </w:p>
  </w:footnote>
  <w:footnote w:type="continuationSeparator" w:id="0">
    <w:p w:rsidR="00BC3830" w:rsidRDefault="00BC3830" w:rsidP="008D2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32"/>
      <w:gridCol w:w="8554"/>
    </w:tblGrid>
    <w:tr w:rsidR="008D286C" w:rsidRPr="00EF4B93" w:rsidTr="008D286C">
      <w:tc>
        <w:tcPr>
          <w:tcW w:w="648" w:type="dxa"/>
          <w:vMerge w:val="restart"/>
          <w:shd w:val="clear" w:color="auto" w:fill="auto"/>
          <w:vAlign w:val="center"/>
        </w:tcPr>
        <w:p w:rsidR="008D286C" w:rsidRPr="00EF4B93" w:rsidRDefault="008D286C" w:rsidP="008D286C">
          <w:pPr>
            <w:pStyle w:val="lfej"/>
            <w:jc w:val="center"/>
            <w:rPr>
              <w:iCs/>
              <w:sz w:val="16"/>
              <w:szCs w:val="16"/>
            </w:rPr>
          </w:pPr>
          <w:r>
            <w:rPr>
              <w:iCs/>
              <w:noProof/>
              <w:sz w:val="16"/>
              <w:szCs w:val="16"/>
            </w:rPr>
            <w:drawing>
              <wp:inline distT="0" distB="0" distL="0" distR="0">
                <wp:extent cx="327600" cy="327600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terv-compass-smallest.png"/>
                        <pic:cNvPicPr/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00" cy="32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2" w:type="dxa"/>
          <w:tcBorders>
            <w:bottom w:val="single" w:sz="4" w:space="0" w:color="auto"/>
          </w:tcBorders>
          <w:shd w:val="clear" w:color="auto" w:fill="auto"/>
        </w:tcPr>
        <w:p w:rsidR="008D286C" w:rsidRPr="00EF4B93" w:rsidRDefault="008D286C" w:rsidP="008D286C">
          <w:pPr>
            <w:pStyle w:val="lfej"/>
            <w:jc w:val="right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Veresegyház</w:t>
          </w:r>
          <w:r w:rsidRPr="006F0484">
            <w:rPr>
              <w:i/>
              <w:iCs/>
              <w:sz w:val="16"/>
              <w:szCs w:val="16"/>
            </w:rPr>
            <w:t xml:space="preserve"> </w:t>
          </w:r>
          <w:r>
            <w:rPr>
              <w:i/>
              <w:iCs/>
              <w:sz w:val="16"/>
              <w:szCs w:val="16"/>
            </w:rPr>
            <w:t>TAK és TKR</w:t>
          </w:r>
        </w:p>
        <w:p w:rsidR="008D286C" w:rsidRPr="00EF4B93" w:rsidRDefault="008D286C" w:rsidP="008D286C">
          <w:pPr>
            <w:pStyle w:val="lfej"/>
            <w:jc w:val="right"/>
            <w:rPr>
              <w:i/>
              <w:iCs/>
              <w:sz w:val="6"/>
              <w:szCs w:val="6"/>
            </w:rPr>
          </w:pPr>
        </w:p>
      </w:tc>
    </w:tr>
    <w:tr w:rsidR="008D286C" w:rsidRPr="00EF4B93" w:rsidTr="008D286C">
      <w:tc>
        <w:tcPr>
          <w:tcW w:w="648" w:type="dxa"/>
          <w:vMerge/>
          <w:shd w:val="clear" w:color="auto" w:fill="auto"/>
        </w:tcPr>
        <w:p w:rsidR="008D286C" w:rsidRPr="00EF4B93" w:rsidRDefault="008D286C" w:rsidP="008D286C">
          <w:pPr>
            <w:pStyle w:val="lfej"/>
            <w:jc w:val="right"/>
            <w:rPr>
              <w:i/>
              <w:iCs/>
              <w:sz w:val="16"/>
              <w:szCs w:val="16"/>
            </w:rPr>
          </w:pPr>
        </w:p>
      </w:tc>
      <w:tc>
        <w:tcPr>
          <w:tcW w:w="8562" w:type="dxa"/>
          <w:tcBorders>
            <w:top w:val="single" w:sz="4" w:space="0" w:color="auto"/>
          </w:tcBorders>
          <w:shd w:val="clear" w:color="auto" w:fill="auto"/>
        </w:tcPr>
        <w:p w:rsidR="008D286C" w:rsidRPr="00EF4B93" w:rsidRDefault="008D286C" w:rsidP="008D286C">
          <w:pPr>
            <w:pStyle w:val="lfej"/>
            <w:jc w:val="right"/>
            <w:rPr>
              <w:i/>
              <w:iCs/>
              <w:sz w:val="16"/>
              <w:szCs w:val="16"/>
            </w:rPr>
          </w:pPr>
        </w:p>
      </w:tc>
    </w:tr>
  </w:tbl>
  <w:p w:rsidR="008D286C" w:rsidRPr="00132296" w:rsidRDefault="008D286C" w:rsidP="008D286C">
    <w:pPr>
      <w:pStyle w:val="lfej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48"/>
      <w:gridCol w:w="8562"/>
    </w:tblGrid>
    <w:tr w:rsidR="008D286C" w:rsidRPr="00EF4B93" w:rsidTr="00DA3F60">
      <w:tc>
        <w:tcPr>
          <w:tcW w:w="648" w:type="dxa"/>
          <w:vMerge w:val="restart"/>
          <w:shd w:val="clear" w:color="auto" w:fill="auto"/>
          <w:vAlign w:val="center"/>
        </w:tcPr>
        <w:p w:rsidR="008D286C" w:rsidRPr="006F0484" w:rsidRDefault="00DA3F60" w:rsidP="008D286C">
          <w:pPr>
            <w:pStyle w:val="lfej"/>
            <w:jc w:val="center"/>
            <w:rPr>
              <w:iCs/>
              <w:sz w:val="16"/>
              <w:szCs w:val="16"/>
            </w:rPr>
          </w:pPr>
          <w:r>
            <w:rPr>
              <w:iCs/>
              <w:sz w:val="16"/>
              <w:szCs w:val="16"/>
            </w:rPr>
            <w:t xml:space="preserve">  </w:t>
          </w:r>
        </w:p>
      </w:tc>
      <w:tc>
        <w:tcPr>
          <w:tcW w:w="8562" w:type="dxa"/>
          <w:shd w:val="clear" w:color="auto" w:fill="auto"/>
        </w:tcPr>
        <w:p w:rsidR="008D286C" w:rsidRPr="00EF4B93" w:rsidRDefault="008D286C" w:rsidP="008D286C">
          <w:pPr>
            <w:pStyle w:val="lfej"/>
            <w:rPr>
              <w:i/>
              <w:iCs/>
              <w:sz w:val="6"/>
              <w:szCs w:val="6"/>
            </w:rPr>
          </w:pPr>
        </w:p>
      </w:tc>
    </w:tr>
    <w:tr w:rsidR="008D286C" w:rsidRPr="00EF4B93" w:rsidTr="00DA3F60">
      <w:tc>
        <w:tcPr>
          <w:tcW w:w="648" w:type="dxa"/>
          <w:vMerge/>
          <w:shd w:val="clear" w:color="auto" w:fill="auto"/>
        </w:tcPr>
        <w:p w:rsidR="008D286C" w:rsidRPr="00EF4B93" w:rsidRDefault="008D286C" w:rsidP="008D286C">
          <w:pPr>
            <w:pStyle w:val="lfej"/>
            <w:jc w:val="right"/>
            <w:rPr>
              <w:i/>
              <w:iCs/>
              <w:sz w:val="16"/>
              <w:szCs w:val="16"/>
            </w:rPr>
          </w:pPr>
        </w:p>
      </w:tc>
      <w:tc>
        <w:tcPr>
          <w:tcW w:w="8562" w:type="dxa"/>
          <w:shd w:val="clear" w:color="auto" w:fill="auto"/>
        </w:tcPr>
        <w:p w:rsidR="008D286C" w:rsidRPr="00EF4B93" w:rsidRDefault="008D286C" w:rsidP="008D286C">
          <w:pPr>
            <w:pStyle w:val="lfej"/>
            <w:jc w:val="right"/>
            <w:rPr>
              <w:i/>
              <w:iCs/>
              <w:sz w:val="16"/>
              <w:szCs w:val="16"/>
            </w:rPr>
          </w:pPr>
        </w:p>
      </w:tc>
    </w:tr>
  </w:tbl>
  <w:p w:rsidR="008D286C" w:rsidRPr="00363D90" w:rsidRDefault="008D286C" w:rsidP="008D286C">
    <w:pPr>
      <w:pStyle w:val="lfej"/>
      <w:jc w:val="right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F60" w:rsidRDefault="00DA3F6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2633"/>
    <w:multiLevelType w:val="hybridMultilevel"/>
    <w:tmpl w:val="22EE5F4C"/>
    <w:lvl w:ilvl="0" w:tplc="7556C40E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27043"/>
    <w:multiLevelType w:val="hybridMultilevel"/>
    <w:tmpl w:val="E66E8DC0"/>
    <w:lvl w:ilvl="0" w:tplc="7556C40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86C"/>
    <w:rsid w:val="005A6387"/>
    <w:rsid w:val="00735DB6"/>
    <w:rsid w:val="00783AAA"/>
    <w:rsid w:val="008D286C"/>
    <w:rsid w:val="008E2A11"/>
    <w:rsid w:val="00BC3830"/>
    <w:rsid w:val="00DA2F27"/>
    <w:rsid w:val="00DA3F60"/>
    <w:rsid w:val="00FB2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86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D28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D286C"/>
    <w:rPr>
      <w:rFonts w:ascii="Arial" w:eastAsia="Times New Roman" w:hAnsi="Arial" w:cs="Times New Roman"/>
      <w:sz w:val="20"/>
      <w:szCs w:val="24"/>
      <w:lang w:eastAsia="hu-HU"/>
    </w:rPr>
  </w:style>
  <w:style w:type="character" w:styleId="Oldalszm">
    <w:name w:val="page number"/>
    <w:basedOn w:val="Bekezdsalapbettpusa"/>
    <w:rsid w:val="008D286C"/>
  </w:style>
  <w:style w:type="paragraph" w:styleId="lfej">
    <w:name w:val="header"/>
    <w:basedOn w:val="Norml"/>
    <w:link w:val="lfejChar"/>
    <w:rsid w:val="008D28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D286C"/>
    <w:rPr>
      <w:rFonts w:ascii="Arial" w:eastAsia="Times New Roman" w:hAnsi="Arial" w:cs="Times New Roman"/>
      <w:sz w:val="20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D2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1119</Words>
  <Characters>7724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Szabóné</dc:creator>
  <cp:lastModifiedBy>Tamás</cp:lastModifiedBy>
  <cp:revision>2</cp:revision>
  <dcterms:created xsi:type="dcterms:W3CDTF">2017-12-28T18:27:00Z</dcterms:created>
  <dcterms:modified xsi:type="dcterms:W3CDTF">2017-12-28T18:27:00Z</dcterms:modified>
</cp:coreProperties>
</file>