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C71" w:rsidRPr="00964C71" w:rsidRDefault="00964C71" w:rsidP="00964C71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964C71" w:rsidRPr="00964C71" w:rsidRDefault="00964C71" w:rsidP="00964C71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964C71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Mezőkövesd város Önkormányzata Képviselő-testületének</w:t>
      </w:r>
    </w:p>
    <w:p w:rsidR="00964C71" w:rsidRPr="00964C71" w:rsidRDefault="00964C71" w:rsidP="00964C71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4</w:t>
      </w:r>
      <w:r w:rsidRPr="00964C71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/2020. (</w:t>
      </w:r>
      <w:r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II</w:t>
      </w:r>
      <w:r w:rsidRPr="00964C71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27.</w:t>
      </w:r>
      <w:r w:rsidRPr="00964C71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) önkormányzati rendelete</w:t>
      </w:r>
    </w:p>
    <w:p w:rsidR="00964C71" w:rsidRPr="00964C71" w:rsidRDefault="00964C71" w:rsidP="00964C71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964C71" w:rsidRPr="00964C71" w:rsidRDefault="00964C71" w:rsidP="00964C71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964C71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az Önkormányzat 2020. évi költségvetéséről</w:t>
      </w:r>
    </w:p>
    <w:p w:rsidR="00964C71" w:rsidRPr="00964C71" w:rsidRDefault="00964C71" w:rsidP="00964C7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964C71" w:rsidRPr="00964C71" w:rsidRDefault="00964C71" w:rsidP="00964C71">
      <w:pPr>
        <w:suppressAutoHyphens/>
        <w:spacing w:after="0" w:line="276" w:lineRule="auto"/>
        <w:ind w:left="142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>Mezőkövesd Város Önkormányzatának Képviselő-testülete az Alaptörvény 32. cikk (2) bekezdésében foglalt eredeti jogalkotói hatáskörében az Alaptörvény 32. cikk (1) bekezdése f) pontjában meghatározott feladatkörében eljárva a Pénzügyi és Fejlesztési Bizottság véleményének kikérésével a következőket rendeli el:</w:t>
      </w:r>
    </w:p>
    <w:p w:rsidR="00964C71" w:rsidRPr="00964C71" w:rsidRDefault="00964C71" w:rsidP="00964C7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964C71" w:rsidRPr="00964C71" w:rsidRDefault="00964C71" w:rsidP="00964C71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964C71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A költségvetés bevételei és kiadásai</w:t>
      </w:r>
    </w:p>
    <w:p w:rsidR="00964C71" w:rsidRPr="00964C71" w:rsidRDefault="00964C71" w:rsidP="00964C7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964C71" w:rsidRPr="00964C71" w:rsidRDefault="00964C71" w:rsidP="00964C7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>1.§ (1) A képviselő-testület az Önkormányzat 2020. évi költségvetésének</w:t>
      </w:r>
    </w:p>
    <w:p w:rsidR="00964C71" w:rsidRPr="00964C71" w:rsidRDefault="00964C71" w:rsidP="00964C7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6379"/>
        <w:gridCol w:w="2551"/>
      </w:tblGrid>
      <w:tr w:rsidR="00964C71" w:rsidRPr="00964C71" w:rsidTr="00964C71">
        <w:trPr>
          <w:trHeight w:val="80"/>
        </w:trPr>
        <w:tc>
          <w:tcPr>
            <w:tcW w:w="6379" w:type="dxa"/>
            <w:hideMark/>
          </w:tcPr>
          <w:p w:rsidR="00964C71" w:rsidRPr="00964C71" w:rsidRDefault="00964C71" w:rsidP="00964C71">
            <w:pPr>
              <w:suppressAutoHyphens/>
              <w:snapToGrid w:val="0"/>
              <w:spacing w:after="0" w:line="240" w:lineRule="auto"/>
              <w:ind w:left="709" w:hanging="709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964C71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a) Bevételi főösszegét</w:t>
            </w:r>
          </w:p>
        </w:tc>
        <w:tc>
          <w:tcPr>
            <w:tcW w:w="2551" w:type="dxa"/>
            <w:hideMark/>
          </w:tcPr>
          <w:p w:rsidR="00964C71" w:rsidRPr="00964C71" w:rsidRDefault="00964C71" w:rsidP="00964C7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964C71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 xml:space="preserve">9.457.340 </w:t>
            </w:r>
            <w:proofErr w:type="spellStart"/>
            <w:r w:rsidRPr="00964C71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eFt-ban</w:t>
            </w:r>
            <w:proofErr w:type="spellEnd"/>
          </w:p>
        </w:tc>
      </w:tr>
      <w:tr w:rsidR="00964C71" w:rsidRPr="00964C71" w:rsidTr="00964C71">
        <w:tc>
          <w:tcPr>
            <w:tcW w:w="6379" w:type="dxa"/>
          </w:tcPr>
          <w:p w:rsidR="00964C71" w:rsidRPr="00964C71" w:rsidRDefault="00964C71" w:rsidP="00964C7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:rsidR="00964C71" w:rsidRPr="00964C71" w:rsidRDefault="00964C71" w:rsidP="00964C7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</w:tc>
      </w:tr>
      <w:tr w:rsidR="00964C71" w:rsidRPr="00964C71" w:rsidTr="00964C71">
        <w:tc>
          <w:tcPr>
            <w:tcW w:w="6379" w:type="dxa"/>
            <w:hideMark/>
          </w:tcPr>
          <w:p w:rsidR="00964C71" w:rsidRPr="00964C71" w:rsidRDefault="00964C71" w:rsidP="00964C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964C71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b) Kiadási főösszegét</w:t>
            </w:r>
          </w:p>
        </w:tc>
        <w:tc>
          <w:tcPr>
            <w:tcW w:w="2551" w:type="dxa"/>
            <w:hideMark/>
          </w:tcPr>
          <w:p w:rsidR="00964C71" w:rsidRPr="00964C71" w:rsidRDefault="00964C71" w:rsidP="00964C7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b/>
                <w:sz w:val="24"/>
                <w:szCs w:val="24"/>
                <w:highlight w:val="red"/>
                <w:lang w:eastAsia="ar-SA"/>
              </w:rPr>
            </w:pPr>
            <w:r w:rsidRPr="00964C71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 xml:space="preserve">9.457.340 </w:t>
            </w:r>
            <w:proofErr w:type="spellStart"/>
            <w:r w:rsidRPr="00964C71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eFt-ban</w:t>
            </w:r>
            <w:proofErr w:type="spellEnd"/>
          </w:p>
        </w:tc>
      </w:tr>
      <w:tr w:rsidR="00964C71" w:rsidRPr="00964C71" w:rsidTr="00964C71">
        <w:tc>
          <w:tcPr>
            <w:tcW w:w="6379" w:type="dxa"/>
          </w:tcPr>
          <w:p w:rsidR="00964C71" w:rsidRPr="00964C71" w:rsidRDefault="00964C71" w:rsidP="00964C7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:rsidR="00964C71" w:rsidRPr="00964C71" w:rsidRDefault="00964C71" w:rsidP="00964C7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</w:tc>
      </w:tr>
      <w:tr w:rsidR="00964C71" w:rsidRPr="00964C71" w:rsidTr="00964C71">
        <w:tc>
          <w:tcPr>
            <w:tcW w:w="6379" w:type="dxa"/>
            <w:hideMark/>
          </w:tcPr>
          <w:p w:rsidR="00964C71" w:rsidRPr="00964C71" w:rsidRDefault="00964C71" w:rsidP="00964C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964C71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állapítja meg.</w:t>
            </w:r>
          </w:p>
        </w:tc>
        <w:tc>
          <w:tcPr>
            <w:tcW w:w="2551" w:type="dxa"/>
          </w:tcPr>
          <w:p w:rsidR="00964C71" w:rsidRPr="00964C71" w:rsidRDefault="00964C71" w:rsidP="00964C7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</w:tc>
      </w:tr>
    </w:tbl>
    <w:p w:rsidR="00964C71" w:rsidRPr="00964C71" w:rsidRDefault="00964C71" w:rsidP="00964C71">
      <w:pPr>
        <w:suppressAutoHyphens/>
        <w:spacing w:after="0" w:line="240" w:lineRule="auto"/>
        <w:ind w:left="709" w:hanging="567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964C71" w:rsidRPr="00964C71" w:rsidRDefault="00964C71" w:rsidP="00964C71">
      <w:pPr>
        <w:suppressAutoHyphens/>
        <w:spacing w:after="0" w:line="240" w:lineRule="auto"/>
        <w:ind w:left="284" w:hanging="567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       (2)  A bevételi főösszeg az alábbi finanszírozási bevételeket tartalmazza:</w:t>
      </w:r>
    </w:p>
    <w:tbl>
      <w:tblPr>
        <w:tblW w:w="0" w:type="auto"/>
        <w:tblInd w:w="709" w:type="dxa"/>
        <w:tblLayout w:type="fixed"/>
        <w:tblLook w:val="04A0" w:firstRow="1" w:lastRow="0" w:firstColumn="1" w:lastColumn="0" w:noHBand="0" w:noVBand="1"/>
      </w:tblPr>
      <w:tblGrid>
        <w:gridCol w:w="5920"/>
        <w:gridCol w:w="2126"/>
      </w:tblGrid>
      <w:tr w:rsidR="00964C71" w:rsidRPr="00964C71" w:rsidTr="00964C71">
        <w:tc>
          <w:tcPr>
            <w:tcW w:w="5920" w:type="dxa"/>
            <w:hideMark/>
          </w:tcPr>
          <w:p w:rsidR="00964C71" w:rsidRPr="00964C71" w:rsidRDefault="00964C71" w:rsidP="00964C71">
            <w:pPr>
              <w:suppressAutoHyphens/>
              <w:snapToGrid w:val="0"/>
              <w:spacing w:after="0" w:line="240" w:lineRule="auto"/>
              <w:ind w:left="142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964C7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a)        </w:t>
            </w:r>
            <w:r w:rsidRPr="00964C71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előző évek működési maradványa</w:t>
            </w:r>
            <w:r w:rsidRPr="00964C7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126" w:type="dxa"/>
            <w:hideMark/>
          </w:tcPr>
          <w:p w:rsidR="00964C71" w:rsidRPr="00964C71" w:rsidRDefault="00964C71" w:rsidP="00964C71">
            <w:pPr>
              <w:suppressAutoHyphens/>
              <w:spacing w:after="0" w:line="240" w:lineRule="auto"/>
              <w:ind w:left="175"/>
              <w:jc w:val="right"/>
              <w:rPr>
                <w:rFonts w:ascii="Times New Roman" w:eastAsia="Times New Roman" w:hAnsi="Times New Roman" w:cs="Calibri"/>
                <w:b/>
                <w:sz w:val="24"/>
                <w:szCs w:val="24"/>
                <w:highlight w:val="red"/>
                <w:lang w:eastAsia="ar-SA"/>
              </w:rPr>
            </w:pPr>
            <w:r w:rsidRPr="00964C71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 xml:space="preserve">694.746 </w:t>
            </w:r>
            <w:proofErr w:type="spellStart"/>
            <w:r w:rsidRPr="00964C71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eFt</w:t>
            </w:r>
            <w:proofErr w:type="spellEnd"/>
          </w:p>
        </w:tc>
      </w:tr>
      <w:tr w:rsidR="00964C71" w:rsidRPr="00964C71" w:rsidTr="00964C71">
        <w:tc>
          <w:tcPr>
            <w:tcW w:w="5920" w:type="dxa"/>
            <w:hideMark/>
          </w:tcPr>
          <w:p w:rsidR="00964C71" w:rsidRPr="00964C71" w:rsidRDefault="00964C71" w:rsidP="00964C71">
            <w:pPr>
              <w:suppressAutoHyphens/>
              <w:snapToGrid w:val="0"/>
              <w:spacing w:after="0" w:line="240" w:lineRule="auto"/>
              <w:ind w:left="142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964C7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b)        </w:t>
            </w:r>
            <w:r w:rsidRPr="00964C71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előző évek felhalmozási maradványa</w:t>
            </w:r>
            <w:r w:rsidRPr="00964C7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126" w:type="dxa"/>
            <w:hideMark/>
          </w:tcPr>
          <w:p w:rsidR="00964C71" w:rsidRPr="00964C71" w:rsidRDefault="00964C71" w:rsidP="00964C71">
            <w:pPr>
              <w:suppressAutoHyphens/>
              <w:spacing w:after="0" w:line="240" w:lineRule="auto"/>
              <w:ind w:left="459"/>
              <w:jc w:val="right"/>
              <w:rPr>
                <w:rFonts w:ascii="Times New Roman" w:eastAsia="Times New Roman" w:hAnsi="Times New Roman" w:cs="Calibri"/>
                <w:b/>
                <w:sz w:val="24"/>
                <w:szCs w:val="24"/>
                <w:highlight w:val="red"/>
                <w:lang w:eastAsia="ar-SA"/>
              </w:rPr>
            </w:pPr>
            <w:r w:rsidRPr="00964C71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 xml:space="preserve">2.730.008 </w:t>
            </w:r>
            <w:proofErr w:type="spellStart"/>
            <w:r w:rsidRPr="00964C71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eFt</w:t>
            </w:r>
            <w:proofErr w:type="spellEnd"/>
          </w:p>
        </w:tc>
      </w:tr>
      <w:tr w:rsidR="00964C71" w:rsidRPr="00964C71" w:rsidTr="00964C71">
        <w:tc>
          <w:tcPr>
            <w:tcW w:w="5920" w:type="dxa"/>
            <w:hideMark/>
          </w:tcPr>
          <w:p w:rsidR="00964C71" w:rsidRPr="00964C71" w:rsidRDefault="00964C71" w:rsidP="00964C71">
            <w:pPr>
              <w:suppressAutoHyphens/>
              <w:snapToGrid w:val="0"/>
              <w:spacing w:after="0" w:line="240" w:lineRule="auto"/>
              <w:ind w:left="142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964C7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c)        </w:t>
            </w:r>
            <w:r w:rsidRPr="00964C71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működési célú hitelfelvétel (forráshiány)</w:t>
            </w:r>
            <w:r w:rsidRPr="00964C7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126" w:type="dxa"/>
            <w:hideMark/>
          </w:tcPr>
          <w:p w:rsidR="00964C71" w:rsidRPr="00964C71" w:rsidRDefault="00964C71" w:rsidP="00964C71">
            <w:pPr>
              <w:suppressAutoHyphens/>
              <w:spacing w:after="0" w:line="240" w:lineRule="auto"/>
              <w:ind w:left="317"/>
              <w:jc w:val="right"/>
              <w:rPr>
                <w:rFonts w:ascii="Times New Roman" w:eastAsia="Times New Roman" w:hAnsi="Times New Roman" w:cs="Calibri"/>
                <w:b/>
                <w:sz w:val="24"/>
                <w:szCs w:val="24"/>
                <w:highlight w:val="red"/>
                <w:lang w:eastAsia="ar-SA"/>
              </w:rPr>
            </w:pPr>
            <w:r w:rsidRPr="00964C71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 xml:space="preserve">0 </w:t>
            </w:r>
            <w:proofErr w:type="spellStart"/>
            <w:r w:rsidRPr="00964C71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eFt</w:t>
            </w:r>
            <w:proofErr w:type="spellEnd"/>
          </w:p>
        </w:tc>
      </w:tr>
      <w:tr w:rsidR="00964C71" w:rsidRPr="00964C71" w:rsidTr="00964C71">
        <w:tc>
          <w:tcPr>
            <w:tcW w:w="5920" w:type="dxa"/>
            <w:hideMark/>
          </w:tcPr>
          <w:p w:rsidR="00964C71" w:rsidRPr="00964C71" w:rsidRDefault="00964C71" w:rsidP="00964C71">
            <w:pPr>
              <w:suppressAutoHyphens/>
              <w:snapToGrid w:val="0"/>
              <w:spacing w:after="0" w:line="240" w:lineRule="auto"/>
              <w:ind w:left="142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964C7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d)        </w:t>
            </w:r>
            <w:r w:rsidRPr="00964C71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felhalmozási célú hitelfelvétel (forráshiány)</w:t>
            </w:r>
            <w:r w:rsidRPr="00964C7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</w:p>
          <w:p w:rsidR="00964C71" w:rsidRPr="00964C71" w:rsidRDefault="00964C71" w:rsidP="00964C71">
            <w:pPr>
              <w:suppressAutoHyphens/>
              <w:snapToGrid w:val="0"/>
              <w:spacing w:after="0" w:line="240" w:lineRule="auto"/>
              <w:ind w:left="142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964C7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e)        </w:t>
            </w:r>
            <w:r w:rsidRPr="00964C71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központi irányítószervi támogatás</w:t>
            </w:r>
          </w:p>
        </w:tc>
        <w:tc>
          <w:tcPr>
            <w:tcW w:w="2126" w:type="dxa"/>
            <w:hideMark/>
          </w:tcPr>
          <w:p w:rsidR="00964C71" w:rsidRPr="00964C71" w:rsidRDefault="00964C71" w:rsidP="00964C7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964C71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 xml:space="preserve">0 </w:t>
            </w:r>
            <w:proofErr w:type="spellStart"/>
            <w:r w:rsidRPr="00964C71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eFt</w:t>
            </w:r>
            <w:proofErr w:type="spellEnd"/>
          </w:p>
          <w:p w:rsidR="00964C71" w:rsidRPr="00964C71" w:rsidRDefault="00964C71" w:rsidP="00964C7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964C71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 xml:space="preserve">1.272.405 </w:t>
            </w:r>
            <w:proofErr w:type="spellStart"/>
            <w:r w:rsidRPr="00964C71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eFt</w:t>
            </w:r>
            <w:proofErr w:type="spellEnd"/>
          </w:p>
        </w:tc>
      </w:tr>
      <w:tr w:rsidR="00964C71" w:rsidRPr="00964C71" w:rsidTr="00964C71">
        <w:tc>
          <w:tcPr>
            <w:tcW w:w="5920" w:type="dxa"/>
            <w:hideMark/>
          </w:tcPr>
          <w:p w:rsidR="00964C71" w:rsidRPr="00964C71" w:rsidRDefault="00964C71" w:rsidP="00964C71">
            <w:pPr>
              <w:suppressAutoHyphens/>
              <w:snapToGrid w:val="0"/>
              <w:spacing w:after="0" w:line="240" w:lineRule="auto"/>
              <w:ind w:left="142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964C7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f</w:t>
            </w:r>
            <w:r w:rsidRPr="00964C71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)         belföldi értékpapírok értékesítése</w:t>
            </w:r>
          </w:p>
        </w:tc>
        <w:tc>
          <w:tcPr>
            <w:tcW w:w="2126" w:type="dxa"/>
            <w:hideMark/>
          </w:tcPr>
          <w:p w:rsidR="00964C71" w:rsidRPr="00964C71" w:rsidRDefault="00964C71" w:rsidP="00964C7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964C71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 xml:space="preserve">200.000 </w:t>
            </w:r>
            <w:proofErr w:type="spellStart"/>
            <w:r w:rsidRPr="00964C71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eFt</w:t>
            </w:r>
            <w:proofErr w:type="spellEnd"/>
          </w:p>
        </w:tc>
      </w:tr>
      <w:tr w:rsidR="00964C71" w:rsidRPr="00964C71" w:rsidTr="00964C71">
        <w:tc>
          <w:tcPr>
            <w:tcW w:w="5920" w:type="dxa"/>
            <w:hideMark/>
          </w:tcPr>
          <w:p w:rsidR="00964C71" w:rsidRPr="00964C71" w:rsidRDefault="00964C71" w:rsidP="00964C71">
            <w:pPr>
              <w:suppressAutoHyphens/>
              <w:snapToGrid w:val="0"/>
              <w:spacing w:after="0" w:line="240" w:lineRule="auto"/>
              <w:ind w:left="142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964C71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g</w:t>
            </w:r>
            <w:r w:rsidRPr="00964C71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)        likviditási célú hitel igénybevétele</w:t>
            </w:r>
          </w:p>
        </w:tc>
        <w:tc>
          <w:tcPr>
            <w:tcW w:w="2126" w:type="dxa"/>
            <w:hideMark/>
          </w:tcPr>
          <w:p w:rsidR="00964C71" w:rsidRPr="00964C71" w:rsidRDefault="00964C71" w:rsidP="00964C7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964C71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 xml:space="preserve">200.000 </w:t>
            </w:r>
            <w:proofErr w:type="spellStart"/>
            <w:r w:rsidRPr="00964C71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eFt</w:t>
            </w:r>
            <w:proofErr w:type="spellEnd"/>
          </w:p>
        </w:tc>
      </w:tr>
    </w:tbl>
    <w:p w:rsidR="00964C71" w:rsidRPr="00964C71" w:rsidRDefault="00964C71" w:rsidP="00964C71">
      <w:pPr>
        <w:suppressAutoHyphens/>
        <w:spacing w:after="0" w:line="240" w:lineRule="auto"/>
        <w:ind w:left="42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964C71" w:rsidRPr="00964C71" w:rsidRDefault="00964C71" w:rsidP="00964C71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2.§ Az 1. § (1) bekezdés a) pontjában meghatározott </w:t>
      </w:r>
      <w:r w:rsidRPr="00964C71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költségvetési bevételek nem tartalmaznak</w:t>
      </w: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proofErr w:type="gramStart"/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>fejlesztési</w:t>
      </w:r>
      <w:proofErr w:type="gramEnd"/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célú illetve működési hitelfelvételt, csak a likviditási célú hitel igénybevételét.</w:t>
      </w:r>
    </w:p>
    <w:p w:rsidR="00964C71" w:rsidRPr="00964C71" w:rsidRDefault="00964C71" w:rsidP="00964C71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964C71" w:rsidRPr="00964C71" w:rsidRDefault="00964C71" w:rsidP="00964C71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3.§ Az 1. § (1) bekezdés b) pontjában meghatározott </w:t>
      </w:r>
      <w:r w:rsidRPr="00964C71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költségvetési kiadások nem tartalmaznak</w:t>
      </w: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működési, illetve felhalmozási hiteltörlesztést, csak a likviditási célú hitel visszafizetését.</w:t>
      </w:r>
    </w:p>
    <w:p w:rsidR="00964C71" w:rsidRPr="00964C71" w:rsidRDefault="00964C71" w:rsidP="00964C71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964C71" w:rsidRPr="00964C71" w:rsidRDefault="00964C71" w:rsidP="00964C71">
      <w:pPr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>4.§ (1) Az 1. § (1) bekezdés a) pontjában megállapított</w:t>
      </w:r>
      <w:r w:rsidRPr="00964C71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 xml:space="preserve"> költségvetési bevételi főösszeg </w:t>
      </w: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>költségvetési címek és kiemelt előirányzatok szerinti részletezését e rendelet 1, valamint a 13 – 31. melléklete tartalmazza. A költségvetési intézmények és a Közös Önkormányzati Hivatal és az önkormányzat bevételeit kötelező, önként vállalt és államigazgatási feladatok szerinti bontásban az 54. – 55. melléklet tartalmazza.</w:t>
      </w:r>
    </w:p>
    <w:p w:rsidR="00964C71" w:rsidRPr="00964C71" w:rsidRDefault="00964C71" w:rsidP="00964C71">
      <w:pPr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964C71" w:rsidRPr="00964C71" w:rsidRDefault="00964C71" w:rsidP="00964C71">
      <w:pPr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>(2) Az 1. § (1) bekezdés b) pontjában megállapított</w:t>
      </w:r>
      <w:r w:rsidRPr="00964C71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 xml:space="preserve"> költségvetési kiadási főösszeg</w:t>
      </w: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költségvetési címek és kiemelt előirányzatok szerinti részletezését e rendelet 1., a 2 -12. valamint a 32-34. melléklete tartalmazza. A költségvetési intézmények és a Közös Önkormányzati Hivatal kiadását kötelező, önként vállalt és államigazgatási feladatok szerinti bontásban az 52., az önkormányzat kiadásait pedig az 53 melléklet tartalmazza.</w:t>
      </w:r>
    </w:p>
    <w:p w:rsidR="00964C71" w:rsidRPr="00964C71" w:rsidRDefault="00964C71" w:rsidP="00964C71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964C71" w:rsidRPr="00964C71" w:rsidRDefault="00964C71" w:rsidP="00964C71">
      <w:pPr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lastRenderedPageBreak/>
        <w:t xml:space="preserve">5.§ (1) Az Önkormányzat költségvetésében szereplő </w:t>
      </w:r>
      <w:r w:rsidRPr="00964C71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felújítási kiadási előirányzat</w:t>
      </w: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célonkénti részletezését e rendelet 32. melléklete tartalmazza.</w:t>
      </w:r>
    </w:p>
    <w:p w:rsidR="00964C71" w:rsidRPr="00964C71" w:rsidRDefault="00964C71" w:rsidP="00964C71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964C71" w:rsidRPr="00964C71" w:rsidRDefault="00964C71" w:rsidP="00964C71">
      <w:pPr>
        <w:tabs>
          <w:tab w:val="left" w:pos="426"/>
        </w:tabs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     (2) Az Önkormányzat költségvetésében szereplő </w:t>
      </w:r>
      <w:r w:rsidRPr="00964C71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 xml:space="preserve">beruházási kiadási előirányzat </w:t>
      </w: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>feladatonkénti részletezését e rendelet 33. melléklete tartalmazza.</w:t>
      </w:r>
    </w:p>
    <w:p w:rsidR="00964C71" w:rsidRPr="00964C71" w:rsidRDefault="00964C71" w:rsidP="00964C71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964C71" w:rsidRPr="00964C71" w:rsidRDefault="00964C71" w:rsidP="00964C71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6.§  (1) A képviselő testület a költségvetési kiadási főösszegen belül </w:t>
      </w:r>
    </w:p>
    <w:p w:rsidR="00964C71" w:rsidRPr="00964C71" w:rsidRDefault="00964C71" w:rsidP="00964C71">
      <w:pPr>
        <w:suppressAutoHyphens/>
        <w:overflowPunct w:val="0"/>
        <w:autoSpaceDE w:val="0"/>
        <w:spacing w:after="0" w:line="240" w:lineRule="auto"/>
        <w:ind w:left="1843"/>
        <w:jc w:val="both"/>
        <w:textAlignment w:val="baseline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a)       25.000   </w:t>
      </w:r>
      <w:proofErr w:type="spellStart"/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>eFt</w:t>
      </w:r>
      <w:proofErr w:type="spellEnd"/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összegű </w:t>
      </w:r>
      <w:r w:rsidRPr="00964C71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általános (kockázati) tartalékot, és</w:t>
      </w:r>
    </w:p>
    <w:p w:rsidR="00964C71" w:rsidRPr="00964C71" w:rsidRDefault="00964C71" w:rsidP="00964C71">
      <w:pPr>
        <w:suppressAutoHyphens/>
        <w:overflowPunct w:val="0"/>
        <w:autoSpaceDE w:val="0"/>
        <w:spacing w:after="0" w:line="240" w:lineRule="auto"/>
        <w:ind w:left="1843"/>
        <w:jc w:val="both"/>
        <w:textAlignment w:val="baseline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b)     206.100   </w:t>
      </w:r>
      <w:proofErr w:type="spellStart"/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>eFt</w:t>
      </w:r>
      <w:proofErr w:type="spellEnd"/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összegű</w:t>
      </w:r>
      <w:r w:rsidRPr="00964C71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 xml:space="preserve"> céltartalékot</w:t>
      </w: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állapít meg. </w:t>
      </w:r>
    </w:p>
    <w:p w:rsidR="00964C71" w:rsidRPr="00964C71" w:rsidRDefault="00964C71" w:rsidP="00964C71">
      <w:pPr>
        <w:suppressAutoHyphens/>
        <w:spacing w:after="0" w:line="240" w:lineRule="auto"/>
        <w:ind w:left="486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964C71" w:rsidRPr="00964C71" w:rsidRDefault="00964C71" w:rsidP="00964C71">
      <w:pPr>
        <w:suppressAutoHyphens/>
        <w:spacing w:after="0" w:line="240" w:lineRule="auto"/>
        <w:ind w:left="851" w:hanging="365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(2) A </w:t>
      </w:r>
      <w:r w:rsidRPr="00964C71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céltartalék összege</w:t>
      </w: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e rendelet 34. mellékletében megjelölt célokhoz kapcsolódik. Az általános és a céltartalék felhasználását esetenkénti 5 millió Ft-ig a polgármester engedélyezheti, melyről a képviselő-testületet a költségvetési rendelet módosításakor tájékoztatja, 5 millió Ft feletti felhasználásra csak a képviselő-testület döntését követően kerülhet sor.</w:t>
      </w:r>
    </w:p>
    <w:p w:rsidR="00964C71" w:rsidRPr="00964C71" w:rsidRDefault="00964C71" w:rsidP="00964C71">
      <w:pPr>
        <w:suppressAutoHyphens/>
        <w:spacing w:after="0" w:line="240" w:lineRule="auto"/>
        <w:ind w:left="486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964C71" w:rsidRPr="00964C71" w:rsidRDefault="00964C71" w:rsidP="00964C71">
      <w:pPr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>7.§ (1) A működési bevételek növelése érdekében pályázatot kell benyújtani a Belügyminisztérium felé működési támogatás igénylésére.</w:t>
      </w:r>
    </w:p>
    <w:p w:rsidR="00964C71" w:rsidRPr="00964C71" w:rsidRDefault="00964C71" w:rsidP="00964C7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964C71" w:rsidRPr="00964C71" w:rsidRDefault="00964C71" w:rsidP="00964C71">
      <w:pPr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(2) A Képviselő-testület az önkormányzat 2019. évi maradványát a 2020. évi költségvetés feladatai finanszírozásába bevonja. Az intézményi maradvány elszámolás során az Önkormányzatot illeti meg a végleges feladatelmaradás miatti összeg, a meghatározott célra rendelkezésre bocsátott összegek maradványa. </w:t>
      </w:r>
    </w:p>
    <w:p w:rsidR="00964C71" w:rsidRPr="00964C71" w:rsidRDefault="00964C71" w:rsidP="00964C71">
      <w:pPr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964C71" w:rsidRPr="00964C71" w:rsidRDefault="00964C71" w:rsidP="00964C71">
      <w:pPr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>(3) A Képviselő-testület a 2019. évi gazdálkodás intézményi maradványát a gazdálkodási helyzetének ismeretében az intézményétől elvonhatja.</w:t>
      </w:r>
    </w:p>
    <w:p w:rsidR="00964C71" w:rsidRPr="00964C71" w:rsidRDefault="00964C71" w:rsidP="00964C71">
      <w:pPr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964C71" w:rsidRPr="00964C71" w:rsidRDefault="00964C71" w:rsidP="00964C71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8.§ A Képviselő-testület a költségvetési szervek </w:t>
      </w:r>
      <w:r w:rsidRPr="00964C71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 xml:space="preserve">létszámkeretét </w:t>
      </w: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e rendelet 35. melléklet, a közfoglalkoztatottak éves létszámkeretét a 36. melléklet szerint határozza meg. </w:t>
      </w:r>
    </w:p>
    <w:p w:rsidR="00964C71" w:rsidRPr="00964C71" w:rsidRDefault="00964C71" w:rsidP="00964C71">
      <w:pPr>
        <w:suppressAutoHyphens/>
        <w:spacing w:after="0" w:line="240" w:lineRule="auto"/>
        <w:ind w:left="486" w:hanging="486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964C71" w:rsidRPr="00964C71" w:rsidRDefault="00964C71" w:rsidP="00964C71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>9.§ Az önkormányzati szintű</w:t>
      </w:r>
      <w:r w:rsidRPr="00964C71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 xml:space="preserve"> működési és felhalmozási célú bevételi és kiadási</w:t>
      </w: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Pr="00964C71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előirányzatok</w:t>
      </w: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at - tájékoztató jelleggel – </w:t>
      </w:r>
      <w:r w:rsidRPr="00964C71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mérlegszerűen,</w:t>
      </w: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egymástól elkülönítetten, de –a finanszírozási műveleteket is figyelembe véve – együttesen egyensúlyban a rendelet 37. melléklete tartalmazza.</w:t>
      </w:r>
    </w:p>
    <w:p w:rsidR="00964C71" w:rsidRPr="00964C71" w:rsidRDefault="00964C71" w:rsidP="00964C71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964C71" w:rsidRPr="00964C71" w:rsidRDefault="00964C71" w:rsidP="00964C71">
      <w:pPr>
        <w:suppressAutoHyphens/>
        <w:spacing w:after="0" w:line="240" w:lineRule="auto"/>
        <w:ind w:left="426" w:hanging="568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10.§ A Képviselő-testület Európai Uniós forrásból és hazai forrásból finanszírozott feladatait e rendelet 38</w:t>
      </w:r>
      <w:r w:rsidRPr="00964C71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 xml:space="preserve">. </w:t>
      </w: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>számú melléklete tartalmazza.</w:t>
      </w:r>
    </w:p>
    <w:p w:rsidR="00964C71" w:rsidRPr="00964C71" w:rsidRDefault="00964C71" w:rsidP="00964C71">
      <w:p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964C71" w:rsidRPr="00964C71" w:rsidRDefault="00964C71" w:rsidP="00964C71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11.§ A </w:t>
      </w:r>
      <w:r w:rsidRPr="00964C71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többéves kihatással járó feladatok előirányzatait</w:t>
      </w: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éves bontásban e rendelet 51. melléklete tartalmazza. </w:t>
      </w:r>
    </w:p>
    <w:p w:rsidR="00964C71" w:rsidRPr="00964C71" w:rsidRDefault="00964C71" w:rsidP="00964C71">
      <w:p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964C71" w:rsidRPr="00964C71" w:rsidRDefault="00964C71" w:rsidP="00964C71">
      <w:p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12. § Az önkormányzat </w:t>
      </w:r>
      <w:r w:rsidRPr="00964C7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saját bevételeinek és az adósságot keletkeztető ügyleteiből eredő fizetési kötelezettségének</w:t>
      </w:r>
      <w:r w:rsidRPr="00964C7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bemutatását e rendelet 40. melléklet tartalmazza.  </w:t>
      </w:r>
    </w:p>
    <w:p w:rsidR="00964C71" w:rsidRPr="00964C71" w:rsidRDefault="00964C71" w:rsidP="00964C71">
      <w:p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Calibri"/>
          <w:iCs/>
          <w:sz w:val="24"/>
          <w:szCs w:val="24"/>
          <w:lang w:eastAsia="ar-SA"/>
        </w:rPr>
      </w:pPr>
    </w:p>
    <w:p w:rsidR="00964C71" w:rsidRPr="00964C71" w:rsidRDefault="00964C71" w:rsidP="00964C71">
      <w:p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13.§ A 2020. év várható bevételi és kiadási előirányzatainak teljesülésére vonatkozó </w:t>
      </w:r>
      <w:r w:rsidRPr="00964C71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előirányzat-felhasználási ütemtervet</w:t>
      </w: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e rendelet 41. melléklete tartalmazza. </w:t>
      </w:r>
    </w:p>
    <w:p w:rsidR="00964C71" w:rsidRPr="00964C71" w:rsidRDefault="00964C71" w:rsidP="00964C71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964C71" w:rsidRPr="00964C71" w:rsidRDefault="00964C71" w:rsidP="00964C71">
      <w:pPr>
        <w:suppressAutoHyphens/>
        <w:spacing w:after="0" w:line="240" w:lineRule="auto"/>
        <w:ind w:left="426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964C71" w:rsidRPr="00964C71" w:rsidRDefault="00964C71" w:rsidP="00964C71">
      <w:pPr>
        <w:suppressAutoHyphens/>
        <w:spacing w:after="0" w:line="240" w:lineRule="auto"/>
        <w:ind w:left="426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964C71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lastRenderedPageBreak/>
        <w:t>A költségvetés végrehajtásának szabályai</w:t>
      </w:r>
    </w:p>
    <w:p w:rsidR="00964C71" w:rsidRPr="00964C71" w:rsidRDefault="00964C71" w:rsidP="00964C71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964C71" w:rsidRPr="00964C71" w:rsidRDefault="00964C71" w:rsidP="00964C71">
      <w:pPr>
        <w:suppressAutoHyphens/>
        <w:spacing w:after="0" w:line="240" w:lineRule="auto"/>
        <w:ind w:left="993" w:hanging="993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14.§ (1) A Képviselő-testület a jóváhagyott kiemelt előirányzatok és létszámkeretek közötti átcsoportosítás és előirányzat-módosítás jogát minden esetben fenntartja magának. </w:t>
      </w:r>
    </w:p>
    <w:p w:rsidR="00964C71" w:rsidRPr="00964C71" w:rsidRDefault="00964C71" w:rsidP="00964C71">
      <w:p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964C71" w:rsidRPr="00964C71" w:rsidRDefault="00964C71" w:rsidP="00964C71">
      <w:pPr>
        <w:suppressAutoHyphens/>
        <w:spacing w:after="0" w:line="240" w:lineRule="auto"/>
        <w:ind w:left="993" w:hanging="993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       (2) Évközben felmerülő kötelezettségvállalásra csak a költségvetési rendelet egyidejű módosításával és a fedezet megjelölésével kerülhet sor. </w:t>
      </w:r>
    </w:p>
    <w:p w:rsidR="00964C71" w:rsidRPr="00964C71" w:rsidRDefault="00964C71" w:rsidP="00964C71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Calibri"/>
          <w:i/>
          <w:sz w:val="24"/>
          <w:szCs w:val="24"/>
          <w:lang w:eastAsia="ar-SA"/>
        </w:rPr>
      </w:pPr>
    </w:p>
    <w:p w:rsidR="00964C71" w:rsidRPr="00964C71" w:rsidRDefault="00964C71" w:rsidP="00964C71">
      <w:pPr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>15.§ (1) A Képviselő-testület - az önkormányzati bevételek növelése érdekében - felhatalmazza a polgármestert, hogy az átmenetileg szabad pénzeszközöket betétként elhelyezze, vagy államilag garantált értékpapírt, vagy „</w:t>
      </w:r>
      <w:proofErr w:type="spellStart"/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>optima</w:t>
      </w:r>
      <w:proofErr w:type="spellEnd"/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>”, illetve „prémium” nyílt végű befektetési jegyet, prémium magyar államkötvényt, illetve tőkegarantált pénzpiaci befektetési jegyet vásároljon, illetve deviza ügyleteket bonyolítson.</w:t>
      </w:r>
    </w:p>
    <w:p w:rsidR="00964C71" w:rsidRPr="00964C71" w:rsidRDefault="00964C71" w:rsidP="00964C71">
      <w:p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964C71" w:rsidRPr="00964C71" w:rsidRDefault="00964C71" w:rsidP="00964C7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Az önkormányzat, a kötvénykibocsátásból származó bevétel fel nem használt részének lekötése során realizált hozamokat, kamatokat felhalmozási bevételként számolja el, tekintettel arra, hogy ez a bevétel csak felhalmozási kiadások (felújítás, beruházás, felhalmozási célú pénzeszközátadás) finanszírozására, valamint felhalmozási hitel és kamatának törlesztésére fordítható. </w:t>
      </w:r>
    </w:p>
    <w:p w:rsidR="00964C71" w:rsidRPr="00964C71" w:rsidRDefault="00964C71" w:rsidP="00964C71">
      <w:pPr>
        <w:suppressAutoHyphens/>
        <w:spacing w:after="0" w:line="240" w:lineRule="auto"/>
        <w:ind w:left="426" w:hanging="246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964C71" w:rsidRPr="00964C71" w:rsidRDefault="00964C71" w:rsidP="00964C71"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>Az önkormányzat felhalmozási bevételként veszi számba az önkormányzati vagyon bérbeadásából származó bérleti díjbevételeket (</w:t>
      </w:r>
      <w:proofErr w:type="spellStart"/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>pl</w:t>
      </w:r>
      <w:proofErr w:type="spellEnd"/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: vízi-közmű, önkormányzati üdülők, </w:t>
      </w:r>
      <w:proofErr w:type="spellStart"/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>Zsóry</w:t>
      </w:r>
      <w:proofErr w:type="spellEnd"/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fürdő, piac stb.), tekintettel arra, hogy azt a bevételt ugyanazon vagyontárgyak felhalmozási és felújítási célú felhasználására fordítja. </w:t>
      </w:r>
    </w:p>
    <w:p w:rsidR="00964C71" w:rsidRPr="00964C71" w:rsidRDefault="00964C71" w:rsidP="00964C71">
      <w:pPr>
        <w:suppressAutoHyphens/>
        <w:spacing w:after="0" w:line="240" w:lineRule="auto"/>
        <w:ind w:left="993" w:hanging="85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964C71" w:rsidRPr="00964C71" w:rsidRDefault="00964C71" w:rsidP="00964C71">
      <w:pPr>
        <w:suppressAutoHyphens/>
        <w:spacing w:after="0" w:line="240" w:lineRule="auto"/>
        <w:ind w:left="927" w:hanging="92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16.§ (1) A költségvetési előirányzatok feletti rendelkezési jogosultság tekintetében a költségvetési szervek vezetői teljes jogkörrel rendelkeznek. </w:t>
      </w:r>
    </w:p>
    <w:p w:rsidR="00964C71" w:rsidRPr="00964C71" w:rsidRDefault="00964C71" w:rsidP="00964C71">
      <w:p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964C71" w:rsidRPr="00964C71" w:rsidRDefault="00964C71" w:rsidP="00964C71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>A karbantartási feladatokat döntően a II. félévben kell elvégezni - kivéve a közvetlen életveszély, balesetveszély elhárítására vonatkozó kiadásokat-, melyet az intézményvezetőknek a kötelezettségvállalást megelőzően a polgármesterrel, illetve a jegyzővel egyeztetni szükséges.</w:t>
      </w:r>
    </w:p>
    <w:p w:rsidR="00964C71" w:rsidRPr="00964C71" w:rsidRDefault="00964C71" w:rsidP="00964C71">
      <w:p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    </w:t>
      </w:r>
    </w:p>
    <w:p w:rsidR="00964C71" w:rsidRPr="00964C71" w:rsidRDefault="00964C71" w:rsidP="00964C71">
      <w:pPr>
        <w:numPr>
          <w:ilvl w:val="0"/>
          <w:numId w:val="3"/>
        </w:numPr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A költségvetési szerv alaptevékenysége körében szellemi tevékenység szerződéssel, számla ellenében történő igénybevételére a dologi kiadások között eredeti előirányzatként elkülönítetten megtervezett összeg, csak a személyi juttatások egyidejű átcsoportosításával növelhető az irányító szerv engedélyét követően.  </w:t>
      </w:r>
    </w:p>
    <w:p w:rsidR="00964C71" w:rsidRPr="00964C71" w:rsidRDefault="00964C71" w:rsidP="00964C71">
      <w:pPr>
        <w:suppressAutoHyphens/>
        <w:spacing w:after="0" w:line="240" w:lineRule="auto"/>
        <w:ind w:left="567" w:hanging="567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964C71" w:rsidRPr="00964C71" w:rsidRDefault="00964C71" w:rsidP="00964C71">
      <w:pPr>
        <w:numPr>
          <w:ilvl w:val="0"/>
          <w:numId w:val="3"/>
        </w:numPr>
        <w:tabs>
          <w:tab w:val="left" w:pos="-1843"/>
          <w:tab w:val="left" w:pos="993"/>
        </w:tabs>
        <w:suppressAutoHyphens/>
        <w:overflowPunct w:val="0"/>
        <w:autoSpaceDE w:val="0"/>
        <w:spacing w:after="0" w:line="240" w:lineRule="auto"/>
        <w:ind w:left="993" w:hanging="426"/>
        <w:jc w:val="both"/>
        <w:rPr>
          <w:rFonts w:ascii="Times New Roman" w:eastAsia="Times New Roman" w:hAnsi="Times New Roman" w:cs="Calibri"/>
          <w:sz w:val="24"/>
          <w:szCs w:val="20"/>
          <w:lang w:eastAsia="ar-SA"/>
        </w:rPr>
      </w:pPr>
      <w:r w:rsidRPr="00964C71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A költségvetési szervek esetén a jutalmazásra kifizethető együttes összeg – beleértve a jutalom előirányzatának felhasználását is -, nem haladhatja meg az eredeti rendszeres személyi juttatások előirányzatára vetítve az 5 %-ot. </w:t>
      </w:r>
    </w:p>
    <w:p w:rsidR="00964C71" w:rsidRPr="00964C71" w:rsidRDefault="00964C71" w:rsidP="00964C71">
      <w:pPr>
        <w:tabs>
          <w:tab w:val="left" w:pos="-1843"/>
        </w:tabs>
        <w:suppressAutoHyphens/>
        <w:overflowPunct w:val="0"/>
        <w:autoSpaceDE w:val="0"/>
        <w:spacing w:after="0" w:line="240" w:lineRule="auto"/>
        <w:ind w:left="786"/>
        <w:jc w:val="both"/>
        <w:rPr>
          <w:rFonts w:ascii="Times New Roman" w:eastAsia="Times New Roman" w:hAnsi="Times New Roman" w:cs="Calibri"/>
          <w:sz w:val="24"/>
          <w:szCs w:val="20"/>
          <w:lang w:eastAsia="ar-SA"/>
        </w:rPr>
      </w:pPr>
      <w:r w:rsidRPr="00964C71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   </w:t>
      </w:r>
    </w:p>
    <w:p w:rsidR="00964C71" w:rsidRPr="00964C71" w:rsidRDefault="00964C71" w:rsidP="00964C71">
      <w:pPr>
        <w:numPr>
          <w:ilvl w:val="0"/>
          <w:numId w:val="3"/>
        </w:numPr>
        <w:tabs>
          <w:tab w:val="left" w:pos="-1843"/>
        </w:tabs>
        <w:suppressAutoHyphens/>
        <w:overflowPunct w:val="0"/>
        <w:autoSpaceDE w:val="0"/>
        <w:spacing w:after="0" w:line="240" w:lineRule="auto"/>
        <w:ind w:left="993" w:hanging="426"/>
        <w:jc w:val="both"/>
        <w:rPr>
          <w:rFonts w:ascii="Times New Roman" w:eastAsia="Times New Roman" w:hAnsi="Times New Roman" w:cs="Calibri"/>
          <w:sz w:val="24"/>
          <w:szCs w:val="20"/>
          <w:lang w:eastAsia="ar-SA"/>
        </w:rPr>
      </w:pPr>
      <w:r w:rsidRPr="00964C71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 Az intézményen belüli jutalmazás feltételeit (differenciálás szabályait) a költségvetési szerv vezetője határozza meg. </w:t>
      </w:r>
    </w:p>
    <w:p w:rsidR="00964C71" w:rsidRPr="00964C71" w:rsidRDefault="00964C71" w:rsidP="00964C71">
      <w:pPr>
        <w:tabs>
          <w:tab w:val="left" w:pos="-1843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0"/>
          <w:lang w:eastAsia="ar-SA"/>
        </w:rPr>
      </w:pPr>
    </w:p>
    <w:p w:rsidR="00964C71" w:rsidRPr="00964C71" w:rsidRDefault="00964C71" w:rsidP="00964C71">
      <w:pPr>
        <w:numPr>
          <w:ilvl w:val="0"/>
          <w:numId w:val="3"/>
        </w:numPr>
        <w:tabs>
          <w:tab w:val="left" w:pos="-1843"/>
        </w:tabs>
        <w:suppressAutoHyphens/>
        <w:overflowPunct w:val="0"/>
        <w:autoSpaceDE w:val="0"/>
        <w:spacing w:after="0" w:line="240" w:lineRule="auto"/>
        <w:ind w:left="993" w:hanging="426"/>
        <w:jc w:val="both"/>
        <w:rPr>
          <w:rFonts w:ascii="Times New Roman" w:eastAsia="Times New Roman" w:hAnsi="Times New Roman" w:cs="Calibri"/>
          <w:sz w:val="24"/>
          <w:szCs w:val="20"/>
          <w:lang w:eastAsia="ar-SA"/>
        </w:rPr>
      </w:pPr>
      <w:r w:rsidRPr="00964C71">
        <w:rPr>
          <w:rFonts w:ascii="Times New Roman" w:eastAsia="Times New Roman" w:hAnsi="Times New Roman" w:cs="Calibri"/>
          <w:sz w:val="24"/>
          <w:szCs w:val="20"/>
          <w:lang w:eastAsia="ar-SA"/>
        </w:rPr>
        <w:t>A nem rendszeres személyi juttatások között kell megtervezni – a Közalkalmazottak jogállásáról szóló 1992. évi XXXIII. törvény (a továbbiakban: Kjt.) 77.§</w:t>
      </w:r>
      <w:proofErr w:type="spellStart"/>
      <w:r w:rsidRPr="00964C71">
        <w:rPr>
          <w:rFonts w:ascii="Times New Roman" w:eastAsia="Times New Roman" w:hAnsi="Times New Roman" w:cs="Calibri"/>
          <w:sz w:val="24"/>
          <w:szCs w:val="20"/>
          <w:lang w:eastAsia="ar-SA"/>
        </w:rPr>
        <w:t>-ának</w:t>
      </w:r>
      <w:proofErr w:type="spellEnd"/>
      <w:r w:rsidRPr="00964C71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 (1) bekezdése szerinti feltételek fennállása esetén – a Magyarország 2017. évi központi </w:t>
      </w:r>
      <w:r w:rsidRPr="00964C71">
        <w:rPr>
          <w:rFonts w:ascii="Times New Roman" w:eastAsia="Times New Roman" w:hAnsi="Times New Roman" w:cs="Calibri"/>
          <w:sz w:val="24"/>
          <w:szCs w:val="20"/>
          <w:lang w:eastAsia="ar-SA"/>
        </w:rPr>
        <w:lastRenderedPageBreak/>
        <w:t>költségvetéséről szóló 2016. évi XC. törvény 60. § (2) bekezdésében meghatározott kereset-kiegészítést, melynek alapja a keresetbe tartozó juttatások előző évi bázis előirányzatának 2%-a. Az előirányzat felhasználására az irányító szerv vezetőjével történt egyeztetést követően kerülhet sor.</w:t>
      </w:r>
    </w:p>
    <w:p w:rsidR="00964C71" w:rsidRPr="00964C71" w:rsidRDefault="00964C71" w:rsidP="00964C71">
      <w:pPr>
        <w:tabs>
          <w:tab w:val="left" w:pos="-1843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0"/>
          <w:lang w:eastAsia="ar-SA"/>
        </w:rPr>
      </w:pPr>
    </w:p>
    <w:p w:rsidR="00964C71" w:rsidRPr="00964C71" w:rsidRDefault="00964C71" w:rsidP="00964C71">
      <w:pPr>
        <w:numPr>
          <w:ilvl w:val="0"/>
          <w:numId w:val="3"/>
        </w:numPr>
        <w:tabs>
          <w:tab w:val="left" w:pos="-1843"/>
        </w:tabs>
        <w:suppressAutoHyphens/>
        <w:overflowPunct w:val="0"/>
        <w:autoSpaceDE w:val="0"/>
        <w:spacing w:after="0" w:line="240" w:lineRule="auto"/>
        <w:ind w:left="993" w:hanging="426"/>
        <w:jc w:val="both"/>
        <w:rPr>
          <w:rFonts w:ascii="Times New Roman" w:eastAsia="Times New Roman" w:hAnsi="Times New Roman" w:cs="Calibri"/>
          <w:iCs/>
          <w:sz w:val="24"/>
          <w:szCs w:val="20"/>
          <w:lang w:eastAsia="ar-SA"/>
        </w:rPr>
      </w:pPr>
      <w:r w:rsidRPr="00964C71">
        <w:rPr>
          <w:rFonts w:ascii="Times New Roman" w:eastAsia="Times New Roman" w:hAnsi="Times New Roman" w:cs="Calibri"/>
          <w:iCs/>
          <w:sz w:val="24"/>
          <w:szCs w:val="20"/>
          <w:lang w:eastAsia="ar-SA"/>
        </w:rPr>
        <w:t>Illetményelőleg engedélyezhető évente egy alkalommal, annak a közalkalmazottnak, akinek családi, egészségügyi, illetve más szociális ok alapozza meg kérelmét, és munkaviszonya legalább 1 éve fennáll.</w:t>
      </w:r>
    </w:p>
    <w:p w:rsidR="00964C71" w:rsidRPr="00964C71" w:rsidRDefault="00964C71" w:rsidP="00964C71">
      <w:pPr>
        <w:tabs>
          <w:tab w:val="left" w:pos="-1843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Calibri"/>
          <w:i/>
          <w:sz w:val="24"/>
          <w:szCs w:val="20"/>
          <w:lang w:eastAsia="ar-SA"/>
        </w:rPr>
      </w:pPr>
    </w:p>
    <w:p w:rsidR="00964C71" w:rsidRPr="00964C71" w:rsidRDefault="00964C71" w:rsidP="00964C71">
      <w:pPr>
        <w:numPr>
          <w:ilvl w:val="0"/>
          <w:numId w:val="3"/>
        </w:numPr>
        <w:tabs>
          <w:tab w:val="left" w:pos="-1843"/>
        </w:tabs>
        <w:suppressAutoHyphens/>
        <w:overflowPunct w:val="0"/>
        <w:autoSpaceDE w:val="0"/>
        <w:spacing w:after="0" w:line="240" w:lineRule="auto"/>
        <w:ind w:left="993" w:hanging="426"/>
        <w:jc w:val="both"/>
        <w:rPr>
          <w:rFonts w:ascii="Times New Roman" w:eastAsia="Times New Roman" w:hAnsi="Times New Roman" w:cs="Calibri"/>
          <w:iCs/>
          <w:sz w:val="24"/>
          <w:szCs w:val="20"/>
          <w:lang w:eastAsia="ar-SA"/>
        </w:rPr>
      </w:pPr>
      <w:r w:rsidRPr="00964C71">
        <w:rPr>
          <w:rFonts w:ascii="Times New Roman" w:eastAsia="Times New Roman" w:hAnsi="Times New Roman" w:cs="Calibri"/>
          <w:iCs/>
          <w:sz w:val="24"/>
          <w:szCs w:val="20"/>
          <w:lang w:eastAsia="ar-SA"/>
        </w:rPr>
        <w:t>Az illetményelőleg összege maximum 60 ezer Ft-ig terjedhet, melyet 6 havi egyenlő részletben kell visszatéríteni. Az illetményelőleg még vissza nem fizetett része egy összegben és azonnal esedékessé válik, ha a közalkalmazott munkaviszonya a törlesztési idő alatt megszűnik.</w:t>
      </w:r>
    </w:p>
    <w:p w:rsidR="00964C71" w:rsidRPr="00964C71" w:rsidRDefault="00964C71" w:rsidP="00964C71">
      <w:pPr>
        <w:tabs>
          <w:tab w:val="left" w:pos="-1843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Calibri"/>
          <w:iCs/>
          <w:sz w:val="24"/>
          <w:szCs w:val="20"/>
          <w:lang w:eastAsia="ar-SA"/>
        </w:rPr>
      </w:pPr>
    </w:p>
    <w:p w:rsidR="00964C71" w:rsidRPr="00964C71" w:rsidRDefault="00964C71" w:rsidP="00964C71">
      <w:pPr>
        <w:numPr>
          <w:ilvl w:val="0"/>
          <w:numId w:val="3"/>
        </w:numPr>
        <w:tabs>
          <w:tab w:val="left" w:pos="-1843"/>
        </w:tabs>
        <w:suppressAutoHyphens/>
        <w:overflowPunct w:val="0"/>
        <w:autoSpaceDE w:val="0"/>
        <w:spacing w:after="0" w:line="240" w:lineRule="auto"/>
        <w:ind w:left="993" w:hanging="426"/>
        <w:jc w:val="both"/>
        <w:rPr>
          <w:rFonts w:ascii="Times New Roman" w:eastAsia="Times New Roman" w:hAnsi="Times New Roman" w:cs="Calibri"/>
          <w:iCs/>
          <w:sz w:val="24"/>
          <w:szCs w:val="20"/>
          <w:lang w:eastAsia="ar-SA"/>
        </w:rPr>
      </w:pPr>
      <w:r w:rsidRPr="00964C71">
        <w:rPr>
          <w:rFonts w:ascii="Times New Roman" w:eastAsia="Times New Roman" w:hAnsi="Times New Roman" w:cs="Calibri"/>
          <w:iCs/>
          <w:sz w:val="24"/>
          <w:szCs w:val="20"/>
          <w:lang w:eastAsia="ar-SA"/>
        </w:rPr>
        <w:t>Önkormányzati intézményenként az illetményelőleg jogcímen folyósított támogatás mértéke nem lehet magasabb az alkalmazotti létszám 10%-ára számított maximum illetményelőleg szorzataként meghatározott összegnél. Rendkívül indokolt esetben, egyedi elbírálás alapján van lehetőség az intézményi keretösszeg túllépésére, melyet az intézményvezető javaslata alapján a polgármester engedélyez.</w:t>
      </w:r>
    </w:p>
    <w:p w:rsidR="00964C71" w:rsidRPr="00964C71" w:rsidRDefault="00964C71" w:rsidP="00964C71">
      <w:pPr>
        <w:tabs>
          <w:tab w:val="left" w:pos="-1843"/>
        </w:tabs>
        <w:suppressAutoHyphens/>
        <w:overflowPunct w:val="0"/>
        <w:autoSpaceDE w:val="0"/>
        <w:spacing w:after="0" w:line="240" w:lineRule="auto"/>
        <w:ind w:left="567"/>
        <w:jc w:val="both"/>
        <w:rPr>
          <w:rFonts w:ascii="Times New Roman" w:eastAsia="Times New Roman" w:hAnsi="Times New Roman" w:cs="Calibri"/>
          <w:iCs/>
          <w:sz w:val="24"/>
          <w:szCs w:val="20"/>
          <w:lang w:eastAsia="ar-SA"/>
        </w:rPr>
      </w:pPr>
    </w:p>
    <w:p w:rsidR="00964C71" w:rsidRPr="00964C71" w:rsidRDefault="00964C71" w:rsidP="00964C71">
      <w:pPr>
        <w:numPr>
          <w:ilvl w:val="0"/>
          <w:numId w:val="3"/>
        </w:numPr>
        <w:tabs>
          <w:tab w:val="left" w:pos="-1843"/>
        </w:tabs>
        <w:suppressAutoHyphens/>
        <w:overflowPunct w:val="0"/>
        <w:autoSpaceDE w:val="0"/>
        <w:spacing w:after="0" w:line="240" w:lineRule="auto"/>
        <w:ind w:left="993" w:hanging="567"/>
        <w:jc w:val="both"/>
        <w:rPr>
          <w:rFonts w:ascii="Times New Roman" w:eastAsia="Times New Roman" w:hAnsi="Times New Roman" w:cs="Calibri"/>
          <w:sz w:val="24"/>
          <w:szCs w:val="20"/>
          <w:lang w:eastAsia="ar-SA"/>
        </w:rPr>
      </w:pPr>
      <w:r w:rsidRPr="00964C71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A Mezőkövesdi önkormányzati intézmények – a Közös Önkormányzati Hivatal kivételével - a munkavállalóik részére havi nettó </w:t>
      </w:r>
      <w:smartTag w:uri="urn:schemas-microsoft-com:office:smarttags" w:element="metricconverter">
        <w:smartTagPr>
          <w:attr w:name="ProductID" w:val="6.500 Ft"/>
        </w:smartTagPr>
        <w:r w:rsidRPr="00964C71">
          <w:rPr>
            <w:rFonts w:ascii="Times New Roman" w:eastAsia="Times New Roman" w:hAnsi="Times New Roman" w:cs="Calibri"/>
            <w:sz w:val="24"/>
            <w:szCs w:val="20"/>
            <w:lang w:eastAsia="ar-SA"/>
          </w:rPr>
          <w:t>6.500 Ft</w:t>
        </w:r>
      </w:smartTag>
      <w:r w:rsidRPr="00964C71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 értékű béren kívüli juttatást biztosíthatnak Széchenyi Pihenő Kártya illetve pénzjuttatás formájában, a jogszabályban meghatározott előírások szerint.</w:t>
      </w:r>
    </w:p>
    <w:p w:rsidR="00964C71" w:rsidRPr="00964C71" w:rsidRDefault="00964C71" w:rsidP="00964C71">
      <w:pPr>
        <w:tabs>
          <w:tab w:val="left" w:pos="-1843"/>
        </w:tabs>
        <w:suppressAutoHyphens/>
        <w:overflowPunct w:val="0"/>
        <w:autoSpaceDE w:val="0"/>
        <w:spacing w:after="0" w:line="240" w:lineRule="auto"/>
        <w:ind w:left="993"/>
        <w:jc w:val="both"/>
        <w:rPr>
          <w:rFonts w:ascii="Times New Roman" w:eastAsia="Times New Roman" w:hAnsi="Times New Roman" w:cs="Calibri"/>
          <w:sz w:val="24"/>
          <w:szCs w:val="20"/>
          <w:lang w:eastAsia="ar-SA"/>
        </w:rPr>
      </w:pPr>
    </w:p>
    <w:p w:rsidR="00964C71" w:rsidRPr="00964C71" w:rsidRDefault="00964C71" w:rsidP="00964C71">
      <w:pPr>
        <w:numPr>
          <w:ilvl w:val="0"/>
          <w:numId w:val="3"/>
        </w:numPr>
        <w:tabs>
          <w:tab w:val="left" w:pos="-1843"/>
        </w:tabs>
        <w:suppressAutoHyphens/>
        <w:overflowPunct w:val="0"/>
        <w:autoSpaceDE w:val="0"/>
        <w:spacing w:after="0" w:line="240" w:lineRule="auto"/>
        <w:ind w:left="993" w:hanging="567"/>
        <w:jc w:val="both"/>
        <w:rPr>
          <w:rFonts w:ascii="Times New Roman" w:eastAsia="Times New Roman" w:hAnsi="Times New Roman" w:cs="Calibri"/>
          <w:sz w:val="24"/>
          <w:szCs w:val="20"/>
          <w:lang w:eastAsia="ar-SA"/>
        </w:rPr>
      </w:pPr>
      <w:r w:rsidRPr="00964C71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 A Mezőkövesdi Közös Önkormányzati Hivatal köztisztviselői a közszolgálati tisztviselőkről szóló 2011. évi CXCIX. törvény 151. § (1) bekezdése, valamint a személyi jövedelemadóról szóló 1995. évi CXVII. törvény 71. § (1) bekezdésében meghatározottak alapján jogosultak </w:t>
      </w:r>
      <w:proofErr w:type="spellStart"/>
      <w:r w:rsidRPr="00964C71">
        <w:rPr>
          <w:rFonts w:ascii="Times New Roman" w:eastAsia="Times New Roman" w:hAnsi="Times New Roman" w:cs="Calibri"/>
          <w:sz w:val="24"/>
          <w:szCs w:val="20"/>
          <w:lang w:eastAsia="ar-SA"/>
        </w:rPr>
        <w:t>cafetéria-juttatásra</w:t>
      </w:r>
      <w:proofErr w:type="spellEnd"/>
      <w:r w:rsidRPr="00964C71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.  A </w:t>
      </w:r>
      <w:proofErr w:type="spellStart"/>
      <w:r w:rsidRPr="00964C71">
        <w:rPr>
          <w:rFonts w:ascii="Times New Roman" w:eastAsia="Times New Roman" w:hAnsi="Times New Roman" w:cs="Calibri"/>
          <w:sz w:val="24"/>
          <w:szCs w:val="20"/>
          <w:lang w:eastAsia="ar-SA"/>
        </w:rPr>
        <w:t>cafetéria-juttatás</w:t>
      </w:r>
      <w:proofErr w:type="spellEnd"/>
      <w:r w:rsidRPr="00964C71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 éves összege 2020. költségvetési évben nem lehet alacsonyabb a köztisztviselői illetményalap ötszörösénél. A juttatás felhasználásának részletes szabályait a </w:t>
      </w:r>
      <w:proofErr w:type="spellStart"/>
      <w:r w:rsidRPr="00964C71">
        <w:rPr>
          <w:rFonts w:ascii="Times New Roman" w:eastAsia="Times New Roman" w:hAnsi="Times New Roman" w:cs="Calibri"/>
          <w:sz w:val="24"/>
          <w:szCs w:val="20"/>
          <w:lang w:eastAsia="ar-SA"/>
        </w:rPr>
        <w:t>cafetéria</w:t>
      </w:r>
      <w:proofErr w:type="spellEnd"/>
      <w:r w:rsidRPr="00964C71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 szabályzat tartalmazza.</w:t>
      </w:r>
    </w:p>
    <w:p w:rsidR="00964C71" w:rsidRPr="00964C71" w:rsidRDefault="00964C71" w:rsidP="00964C71">
      <w:pPr>
        <w:suppressAutoHyphens/>
        <w:spacing w:after="0" w:line="240" w:lineRule="auto"/>
        <w:ind w:left="708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964C71" w:rsidRPr="00964C71" w:rsidRDefault="00964C71" w:rsidP="00964C71">
      <w:pPr>
        <w:numPr>
          <w:ilvl w:val="0"/>
          <w:numId w:val="3"/>
        </w:numPr>
        <w:tabs>
          <w:tab w:val="left" w:pos="-1843"/>
        </w:tabs>
        <w:suppressAutoHyphens/>
        <w:overflowPunct w:val="0"/>
        <w:autoSpaceDE w:val="0"/>
        <w:spacing w:after="0" w:line="240" w:lineRule="auto"/>
        <w:ind w:left="993" w:hanging="567"/>
        <w:jc w:val="both"/>
        <w:rPr>
          <w:rFonts w:ascii="Times New Roman" w:eastAsia="Times New Roman" w:hAnsi="Times New Roman" w:cs="Calibri"/>
          <w:sz w:val="24"/>
          <w:szCs w:val="20"/>
          <w:lang w:eastAsia="ar-SA"/>
        </w:rPr>
      </w:pPr>
      <w:r w:rsidRPr="00964C71">
        <w:rPr>
          <w:rFonts w:ascii="Times New Roman" w:eastAsia="Times New Roman" w:hAnsi="Times New Roman" w:cs="Calibri"/>
          <w:sz w:val="24"/>
          <w:szCs w:val="20"/>
          <w:lang w:eastAsia="ar-SA"/>
        </w:rPr>
        <w:t>A Képviselő-testület a köztisztviselők, valamint az önkormányzatnál alkalmazottak illetményalapját a 2011.évi CXCIX. törvénytől eltérően, 2020. január 1-től 46.380 forintban határozza meg.</w:t>
      </w:r>
    </w:p>
    <w:p w:rsidR="00964C71" w:rsidRPr="00964C71" w:rsidRDefault="00964C71" w:rsidP="00964C71">
      <w:pPr>
        <w:tabs>
          <w:tab w:val="left" w:pos="-1843"/>
        </w:tabs>
        <w:suppressAutoHyphens/>
        <w:overflowPunct w:val="0"/>
        <w:autoSpaceDE w:val="0"/>
        <w:spacing w:after="0" w:line="240" w:lineRule="auto"/>
        <w:ind w:left="567"/>
        <w:jc w:val="both"/>
        <w:rPr>
          <w:rFonts w:ascii="Times New Roman" w:eastAsia="Times New Roman" w:hAnsi="Times New Roman" w:cs="Calibri"/>
          <w:sz w:val="24"/>
          <w:szCs w:val="20"/>
          <w:lang w:eastAsia="ar-SA"/>
        </w:rPr>
      </w:pPr>
    </w:p>
    <w:p w:rsidR="00964C71" w:rsidRPr="00964C71" w:rsidRDefault="00964C71" w:rsidP="00964C71">
      <w:pPr>
        <w:tabs>
          <w:tab w:val="left" w:pos="567"/>
        </w:tabs>
        <w:suppressAutoHyphens/>
        <w:spacing w:after="0" w:line="240" w:lineRule="auto"/>
        <w:ind w:left="993" w:hanging="993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17.§ (1) A költségvetési szervek a saját működési bevételük eredeti, illetve módosított előirányzatot meghaladó többletbevételének 50 %-át - a képviselő-testület döntését követően - saját hatáskörben felhasználhatják, míg a másik 50 % az önkormányzat          </w:t>
      </w:r>
    </w:p>
    <w:p w:rsidR="00964C71" w:rsidRPr="00964C71" w:rsidRDefault="00964C71" w:rsidP="00964C71">
      <w:pPr>
        <w:tabs>
          <w:tab w:val="left" w:pos="567"/>
        </w:tabs>
        <w:suppressAutoHyphens/>
        <w:spacing w:after="0" w:line="240" w:lineRule="auto"/>
        <w:ind w:left="993" w:hanging="993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              bevételét képezi. A saját bevételek felhasználását az irányító szerv vezetőjével engedélyeztetni szükséges.</w:t>
      </w:r>
    </w:p>
    <w:p w:rsidR="00964C71" w:rsidRPr="00964C71" w:rsidRDefault="00964C71" w:rsidP="00964C71">
      <w:pPr>
        <w:tabs>
          <w:tab w:val="left" w:pos="567"/>
        </w:tabs>
        <w:suppressAutoHyphens/>
        <w:spacing w:after="0" w:line="240" w:lineRule="auto"/>
        <w:ind w:left="993" w:hanging="993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964C71" w:rsidRPr="00964C71" w:rsidRDefault="00964C71" w:rsidP="00964C71">
      <w:pPr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>A Képviselő-testület által jóváhagyott kiemelt előirányzatokat valamennyi költségvetési szerv köteles betartani. A kiadási előirányzat túllépés fegyelmi felelősséget von maga után.</w:t>
      </w:r>
    </w:p>
    <w:p w:rsidR="00964C71" w:rsidRPr="00964C71" w:rsidRDefault="00964C71" w:rsidP="00964C71">
      <w:pPr>
        <w:tabs>
          <w:tab w:val="left" w:pos="-1843"/>
        </w:tabs>
        <w:suppressAutoHyphens/>
        <w:overflowPunct w:val="0"/>
        <w:autoSpaceDE w:val="0"/>
        <w:spacing w:after="0" w:line="240" w:lineRule="auto"/>
        <w:ind w:left="567"/>
        <w:jc w:val="both"/>
        <w:rPr>
          <w:rFonts w:ascii="Times New Roman" w:eastAsia="Times New Roman" w:hAnsi="Times New Roman" w:cs="Calibri"/>
          <w:sz w:val="24"/>
          <w:szCs w:val="20"/>
          <w:lang w:eastAsia="ar-SA"/>
        </w:rPr>
      </w:pPr>
    </w:p>
    <w:p w:rsidR="00964C71" w:rsidRDefault="00964C71" w:rsidP="00964C71">
      <w:pPr>
        <w:numPr>
          <w:ilvl w:val="0"/>
          <w:numId w:val="5"/>
        </w:numPr>
        <w:tabs>
          <w:tab w:val="num" w:pos="567"/>
        </w:tabs>
        <w:suppressAutoHyphens/>
        <w:overflowPunct w:val="0"/>
        <w:autoSpaceDE w:val="0"/>
        <w:spacing w:after="0" w:line="240" w:lineRule="auto"/>
        <w:ind w:left="993" w:hanging="426"/>
        <w:jc w:val="both"/>
        <w:textAlignment w:val="baseline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lastRenderedPageBreak/>
        <w:t xml:space="preserve">A költségvetési szervek az államháztartáson kívülről átvett pénzeszközök, illetve a támogatásértékű bevételek eredeti, illetve módosított előirányzatát meghaladó többletbevételeket intézményi hatáskörben felhasználhatják. </w:t>
      </w:r>
    </w:p>
    <w:p w:rsidR="00964C71" w:rsidRPr="00964C71" w:rsidRDefault="00964C71" w:rsidP="00964C71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964C71" w:rsidRPr="00964C71" w:rsidRDefault="00964C71" w:rsidP="00964C71">
      <w:pPr>
        <w:numPr>
          <w:ilvl w:val="0"/>
          <w:numId w:val="5"/>
        </w:numPr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A költségvetési szervek által - az (1) - (3) bekezdés szerint - saját hatáskörben végrehajtott előirányzat-változtatása, valamint a személyi juttatások előirányzatának év közbeni módosítása során, az államháztartási törvény végrehatásáról szóló 368/2011. (XII.31.) Korm. rendelet 36. §-a alapján kell eljárni. </w:t>
      </w:r>
    </w:p>
    <w:p w:rsidR="00964C71" w:rsidRPr="00964C71" w:rsidRDefault="00964C71" w:rsidP="00964C71">
      <w:pPr>
        <w:suppressAutoHyphens/>
        <w:spacing w:after="0" w:line="240" w:lineRule="auto"/>
        <w:ind w:left="708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964C71" w:rsidRPr="00964C71" w:rsidRDefault="00964C71" w:rsidP="00964C71">
      <w:pPr>
        <w:tabs>
          <w:tab w:val="left" w:pos="-1843"/>
          <w:tab w:val="left" w:pos="993"/>
        </w:tabs>
        <w:suppressAutoHyphens/>
        <w:spacing w:after="0" w:line="240" w:lineRule="auto"/>
        <w:ind w:left="993" w:hanging="993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18.§ (1) A feladat elmaradásból származó - kiemelt - kiadási előirányzat megtakarítások felhasználására csak a Képviselő-testület engedélyével kerülhet sor. </w:t>
      </w:r>
    </w:p>
    <w:p w:rsidR="00964C71" w:rsidRPr="00964C71" w:rsidRDefault="00964C71" w:rsidP="00964C71">
      <w:pPr>
        <w:tabs>
          <w:tab w:val="left" w:pos="-1843"/>
          <w:tab w:val="left" w:pos="993"/>
        </w:tabs>
        <w:suppressAutoHyphens/>
        <w:spacing w:after="0" w:line="240" w:lineRule="auto"/>
        <w:ind w:left="993" w:hanging="993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964C71" w:rsidRPr="00964C71" w:rsidRDefault="00964C71" w:rsidP="00964C71">
      <w:pPr>
        <w:tabs>
          <w:tab w:val="left" w:pos="-1843"/>
          <w:tab w:val="left" w:pos="993"/>
        </w:tabs>
        <w:suppressAutoHyphens/>
        <w:spacing w:after="0" w:line="240" w:lineRule="auto"/>
        <w:ind w:left="993" w:hanging="993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         (2) A költségvetési szerveknek a jóváhagyott éves költségvetés alapján, a vonatkozó jogszabályokban, valamint az alapító okiratban meghatározott követelmények és feltételek érvényesítésével kell működniük és gazdálkodniuk a gazdaságosságra, a hatékonyságra és az eredményességre vonatkozó előírások, a gazdálkodási, számviteli szabályok maradéktalan betartása, és az ellenőrizhetőség szempontjainak biztosítása mellett. </w:t>
      </w:r>
    </w:p>
    <w:p w:rsidR="00964C71" w:rsidRPr="00964C71" w:rsidRDefault="00964C71" w:rsidP="00964C71">
      <w:pPr>
        <w:tabs>
          <w:tab w:val="left" w:pos="-1843"/>
          <w:tab w:val="left" w:pos="993"/>
        </w:tabs>
        <w:suppressAutoHyphens/>
        <w:spacing w:after="0" w:line="240" w:lineRule="auto"/>
        <w:ind w:left="993" w:hanging="993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964C71" w:rsidRPr="00964C71" w:rsidRDefault="00964C71" w:rsidP="00964C71">
      <w:pPr>
        <w:numPr>
          <w:ilvl w:val="0"/>
          <w:numId w:val="2"/>
        </w:numPr>
        <w:tabs>
          <w:tab w:val="left" w:pos="-1843"/>
          <w:tab w:val="left" w:pos="993"/>
        </w:tabs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>A Képviselő-testület felhatalmazza a költségvetési szerveket a költségvetésben előírt bevételek beszedésére és a jóváhagyott kiadások teljesítésére.</w:t>
      </w:r>
    </w:p>
    <w:p w:rsidR="00964C71" w:rsidRPr="00964C71" w:rsidRDefault="00964C71" w:rsidP="00964C71">
      <w:pPr>
        <w:tabs>
          <w:tab w:val="left" w:pos="-1843"/>
          <w:tab w:val="left" w:pos="993"/>
        </w:tabs>
        <w:suppressAutoHyphens/>
        <w:spacing w:after="0" w:line="240" w:lineRule="auto"/>
        <w:ind w:left="92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964C71" w:rsidRPr="00964C71" w:rsidRDefault="00964C71" w:rsidP="00964C71">
      <w:pPr>
        <w:numPr>
          <w:ilvl w:val="0"/>
          <w:numId w:val="2"/>
        </w:numPr>
        <w:tabs>
          <w:tab w:val="left" w:pos="-1843"/>
          <w:tab w:val="left" w:pos="993"/>
        </w:tabs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>A költségvetési szerveknél a tervezett bevételek elmaradása nem vonja automatikusan maga után a költségvetési támogatás növekedését. Amennyiben a tervezett bevételek nem folynak be, a tervezett kiadási előirányzatok nem teljesíthetők.</w:t>
      </w:r>
    </w:p>
    <w:p w:rsidR="00964C71" w:rsidRPr="00964C71" w:rsidRDefault="00964C71" w:rsidP="00964C71">
      <w:pPr>
        <w:tabs>
          <w:tab w:val="left" w:pos="-1843"/>
          <w:tab w:val="left" w:pos="993"/>
        </w:tabs>
        <w:suppressAutoHyphens/>
        <w:spacing w:after="0" w:line="240" w:lineRule="auto"/>
        <w:ind w:left="993" w:hanging="993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964C71" w:rsidRPr="00964C71" w:rsidRDefault="00964C71" w:rsidP="00964C71">
      <w:pPr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     (5) A költségvetési szervek készpénzt vehetnek fel a házipénztárba. A házipénztárból felvett készpénzelőleggel a készpénzt felvevőnek el kell számolnia a költségvetési szerv belső szabályzatában meghatározottak szerint.</w:t>
      </w:r>
    </w:p>
    <w:p w:rsidR="00964C71" w:rsidRPr="00964C71" w:rsidRDefault="00964C71" w:rsidP="00964C71">
      <w:pPr>
        <w:tabs>
          <w:tab w:val="left" w:pos="-1843"/>
          <w:tab w:val="left" w:pos="993"/>
        </w:tabs>
        <w:suppressAutoHyphens/>
        <w:spacing w:after="0" w:line="240" w:lineRule="auto"/>
        <w:ind w:left="993" w:hanging="993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964C71" w:rsidRPr="00964C71" w:rsidRDefault="00964C71" w:rsidP="00964C71">
      <w:pPr>
        <w:tabs>
          <w:tab w:val="left" w:pos="-1843"/>
          <w:tab w:val="left" w:pos="851"/>
        </w:tabs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      (6) A következő készpénzes kifizetésekre lehet előleget felvenni, illetve kerülhet sor készpénz kifizetésére: a készlet- és kis értékű tárgyi eszköz beszerzésekre, a kiküldetési, reprezentációs kiadásokra, továbbá segélyek, egyes kisösszegű szolgáltatási kiadások készpénzben történő teljesítésére a költségvetési szerv pénzkezelési szabályzatában meghatározott házipénztári keret nagyságára figyelemmel. A költségvetési szerveknek gazdálkodásuk során a készpénzkímélő megoldásokat kell előnyben részesíteni.</w:t>
      </w:r>
    </w:p>
    <w:p w:rsidR="00964C71" w:rsidRPr="00964C71" w:rsidRDefault="00964C71" w:rsidP="00964C71">
      <w:pPr>
        <w:tabs>
          <w:tab w:val="left" w:pos="-1843"/>
          <w:tab w:val="left" w:pos="993"/>
        </w:tabs>
        <w:suppressAutoHyphens/>
        <w:spacing w:after="0" w:line="240" w:lineRule="auto"/>
        <w:ind w:left="993" w:hanging="993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964C71" w:rsidRPr="00964C71" w:rsidRDefault="00964C71" w:rsidP="00964C71">
      <w:pPr>
        <w:tabs>
          <w:tab w:val="left" w:pos="-1843"/>
          <w:tab w:val="left" w:pos="851"/>
        </w:tabs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19. §    Amennyiben az önkormányzat év közben a költségvetési rendelet készítésekor nem ismert többletbevételhez jut, vagy bevételei a tervezettől elmaradnak, arról a polgármester a Képviselő-testületet tájékoztatja. </w:t>
      </w:r>
    </w:p>
    <w:p w:rsidR="00964C71" w:rsidRPr="00964C71" w:rsidRDefault="00964C71" w:rsidP="00964C71">
      <w:pPr>
        <w:tabs>
          <w:tab w:val="left" w:pos="-1843"/>
          <w:tab w:val="left" w:pos="993"/>
        </w:tabs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964C71" w:rsidRPr="00964C71" w:rsidRDefault="00964C71" w:rsidP="00964C71">
      <w:pPr>
        <w:suppressAutoHyphens/>
        <w:spacing w:after="0" w:line="240" w:lineRule="auto"/>
        <w:ind w:left="993" w:hanging="993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20.§ (1)A tulajdon védelme érdekében az intézmény az eszközökről és az azok állományában bekövetkezett változásokról folyamatosan részletező nyilvántartást vezet mennyiségben és értékben. A költségvetési évről, december 31-ei fordulónappal készített könyvviteli mérlegben kimutatott eszközöket és forrásokat – ideértve az aktív és passzív pénzügyi elszámolásokat is – alátámasztó leltározást kell végrehajtani. </w:t>
      </w:r>
    </w:p>
    <w:p w:rsidR="00964C71" w:rsidRPr="00964C71" w:rsidRDefault="00964C71" w:rsidP="00964C71">
      <w:pPr>
        <w:suppressAutoHyphens/>
        <w:spacing w:after="0" w:line="240" w:lineRule="auto"/>
        <w:ind w:left="993" w:hanging="993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964C71" w:rsidRPr="00964C71" w:rsidRDefault="00964C71" w:rsidP="00964C71">
      <w:pPr>
        <w:suppressAutoHyphens/>
        <w:spacing w:after="0" w:line="240" w:lineRule="auto"/>
        <w:ind w:left="993" w:hanging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lastRenderedPageBreak/>
        <w:t xml:space="preserve">     (2) Kötelező a megszűnés napjával azonos fordulónappal a leltározást végrehajtani, amennyiben az intézmény átszervezés vagy jogutód nélküli megszűnés következtében megszűnik.</w:t>
      </w:r>
    </w:p>
    <w:p w:rsidR="00964C71" w:rsidRPr="00964C71" w:rsidRDefault="00964C71" w:rsidP="00964C71">
      <w:pPr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964C71" w:rsidRPr="00964C71" w:rsidRDefault="00964C71" w:rsidP="00964C71">
      <w:pPr>
        <w:suppressAutoHyphens/>
        <w:spacing w:after="0" w:line="240" w:lineRule="auto"/>
        <w:ind w:left="709" w:hanging="851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  21.§ A tárgyévben képződött maradvány felhasználásáról a Képviselő-testület az adott évről készült zárszámadási rendeletében rendelkezik.</w:t>
      </w:r>
    </w:p>
    <w:p w:rsidR="00964C71" w:rsidRPr="00964C71" w:rsidRDefault="00964C71" w:rsidP="00964C71">
      <w:pPr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964C71" w:rsidRPr="00964C71" w:rsidRDefault="00964C71" w:rsidP="00964C71">
      <w:pPr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22.§ Az önkormányzat Képviselő-testülete - amennyiben a helyi önkormányzatok adósságrendezési eljárásáról szóló 1996. évi XXV. törvény 4. §-a szerinti adósságrendezési eljárást az önkormányzat vagy hitelezői nem kezdeményezték - önkormányzati biztost rendel ki a felügyelete alá tartozó költségvetési szervhez, ha az önkormányzat által fenntartott költségvetési szerv 30 napon túli tartozásállományának mértéke eléri az éves eredeti előirányzatának 10 %-át, vagy a 100 millió forintot</w:t>
      </w:r>
      <w:r w:rsidRPr="00964C71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 xml:space="preserve"> </w:t>
      </w: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>és e tartozását egy hónap alatt nem képes 30 nap</w:t>
      </w:r>
      <w:r w:rsidRPr="00964C71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 xml:space="preserve"> </w:t>
      </w: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alá szorítani. </w:t>
      </w:r>
    </w:p>
    <w:p w:rsidR="00964C71" w:rsidRPr="00964C71" w:rsidRDefault="00964C71" w:rsidP="00964C71">
      <w:pPr>
        <w:suppressAutoHyphens/>
        <w:spacing w:after="0" w:line="240" w:lineRule="auto"/>
        <w:ind w:left="567" w:hanging="283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964C71" w:rsidRPr="00964C71" w:rsidRDefault="00964C71" w:rsidP="00964C71">
      <w:pPr>
        <w:suppressAutoHyphens/>
        <w:spacing w:after="0" w:line="240" w:lineRule="auto"/>
        <w:ind w:left="851" w:hanging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>23.§ (1) Az önkormányzat felügyelete alá tartozó költségvetési szervek a tartozásállományukról e rendelet 39. melléklete szerinti formában és tartalommal kötelesek adatszolgáltatást teljesíteni.</w:t>
      </w:r>
    </w:p>
    <w:p w:rsidR="00964C71" w:rsidRPr="00964C71" w:rsidRDefault="00964C71" w:rsidP="00964C71">
      <w:p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964C71" w:rsidRPr="00964C71" w:rsidRDefault="00964C71" w:rsidP="00964C71">
      <w:pPr>
        <w:numPr>
          <w:ilvl w:val="0"/>
          <w:numId w:val="6"/>
        </w:numPr>
        <w:suppressAutoHyphens/>
        <w:overflowPunct w:val="0"/>
        <w:autoSpaceDE w:val="0"/>
        <w:spacing w:after="0" w:line="240" w:lineRule="auto"/>
        <w:ind w:hanging="76"/>
        <w:jc w:val="both"/>
        <w:textAlignment w:val="baseline"/>
        <w:rPr>
          <w:rFonts w:ascii="Times New Roman" w:eastAsia="Times New Roman" w:hAnsi="Times New Roman" w:cs="Calibri"/>
          <w:i/>
          <w:sz w:val="24"/>
          <w:szCs w:val="24"/>
          <w:lang w:eastAsia="ar-SA"/>
        </w:rPr>
      </w:pP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Az (1) bekezdés szerinti adatszolgáltatást a költségvetési szervnek az általa elismert tartozásállomány tekintetében - nemleges adat esetén is - havonta, a tárgyhó utolsó naptári napjának megfelelően a tárgyhót követő hó 5-ig kell az önkormányzat jegyzője részére teljesíteni. </w:t>
      </w:r>
      <w:r w:rsidRPr="00964C71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 xml:space="preserve"> </w:t>
      </w:r>
    </w:p>
    <w:p w:rsidR="00964C71" w:rsidRPr="00964C71" w:rsidRDefault="00964C71" w:rsidP="00964C71">
      <w:pPr>
        <w:suppressAutoHyphens/>
        <w:spacing w:after="0" w:line="240" w:lineRule="auto"/>
        <w:ind w:left="48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964C71" w:rsidRPr="00964C71" w:rsidRDefault="00964C71" w:rsidP="00964C71">
      <w:pPr>
        <w:tabs>
          <w:tab w:val="left" w:pos="-1843"/>
        </w:tabs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>24.§ (1) A Képviselő-testület elrendeli a költségvetési szervei részére minden hónap 27-éig a számlaegyenlegek közlését, és havi finanszírozási tervek készítését. A költségvetési szervek részére a polgármester vagy az általa megbízott személy által felülvizsgált finanszírozás folyósítható. A havi finanszírozás mértéke a likviditás kezelhetősége érdekében a féléves beszámolóig az intézmények részére biztosított éves működési kiadási előirányzat 1/12-ed részének 95%-áig terjedhet.</w:t>
      </w:r>
    </w:p>
    <w:p w:rsidR="00964C71" w:rsidRPr="00964C71" w:rsidRDefault="00964C71" w:rsidP="00964C71">
      <w:pPr>
        <w:tabs>
          <w:tab w:val="left" w:pos="-1843"/>
        </w:tabs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964C71" w:rsidRPr="00964C71" w:rsidRDefault="00964C71" w:rsidP="00964C71">
      <w:pPr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964C71">
        <w:rPr>
          <w:rFonts w:ascii="Times New Roman" w:eastAsia="Times New Roman" w:hAnsi="Times New Roman" w:cs="Times New Roman"/>
          <w:iCs/>
          <w:sz w:val="24"/>
          <w:szCs w:val="24"/>
          <w:lang w:val="x-none" w:eastAsia="ar-SA"/>
        </w:rPr>
        <w:t xml:space="preserve">         (2) A jóváhagyott kiemelt előirányzatok felhasználására, a rendszeresen jelentkező személyi jellegű kiadásokat, azok járulékait, és a közüzemi díjakat kivéve – az önkormányzat likviditásának biztosítása érdekében -, csak az irányító szerv vezetőjével történt előzetes egyeztetést követően kerülhet sor.</w:t>
      </w:r>
    </w:p>
    <w:p w:rsidR="00964C71" w:rsidRPr="00964C71" w:rsidRDefault="00964C71" w:rsidP="00964C71">
      <w:pPr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964C71" w:rsidRPr="00964C71" w:rsidRDefault="00964C71" w:rsidP="00964C71">
      <w:pPr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964C71">
        <w:rPr>
          <w:rFonts w:ascii="Times New Roman" w:eastAsia="Times New Roman" w:hAnsi="Times New Roman" w:cs="Times New Roman"/>
          <w:iCs/>
          <w:sz w:val="24"/>
          <w:szCs w:val="24"/>
          <w:lang w:val="x-none" w:eastAsia="ar-SA"/>
        </w:rPr>
        <w:t xml:space="preserve">    </w:t>
      </w:r>
      <w:r w:rsidRPr="00964C71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     </w:t>
      </w:r>
      <w:r w:rsidRPr="00964C71">
        <w:rPr>
          <w:rFonts w:ascii="Times New Roman" w:eastAsia="Times New Roman" w:hAnsi="Times New Roman" w:cs="Times New Roman"/>
          <w:iCs/>
          <w:sz w:val="24"/>
          <w:szCs w:val="24"/>
          <w:lang w:val="x-none" w:eastAsia="ar-SA"/>
        </w:rPr>
        <w:t xml:space="preserve"> (3) Az intézmények önkormányzati támogatásának rendelkezésre bocsátása az intézményi saját bevételek képződésére, valamint a pénzellátási (finanszírozási) tervben foglaltakra is figyelemmel, a tényleges szükséglethez igazodik. </w:t>
      </w:r>
    </w:p>
    <w:p w:rsidR="00964C71" w:rsidRPr="00964C71" w:rsidRDefault="00964C71" w:rsidP="00964C71">
      <w:pPr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964C71" w:rsidRPr="00964C71" w:rsidRDefault="00964C71" w:rsidP="00964C71">
      <w:pPr>
        <w:tabs>
          <w:tab w:val="left" w:pos="-1843"/>
        </w:tabs>
        <w:suppressAutoHyphens/>
        <w:overflowPunct w:val="0"/>
        <w:autoSpaceDE w:val="0"/>
        <w:spacing w:after="0" w:line="240" w:lineRule="auto"/>
        <w:ind w:left="851" w:hanging="284"/>
        <w:jc w:val="both"/>
        <w:rPr>
          <w:rFonts w:ascii="Times New Roman" w:eastAsia="Times New Roman" w:hAnsi="Times New Roman" w:cs="Calibri"/>
          <w:sz w:val="24"/>
          <w:szCs w:val="20"/>
          <w:lang w:eastAsia="ar-SA"/>
        </w:rPr>
      </w:pPr>
      <w:r w:rsidRPr="00964C71">
        <w:rPr>
          <w:rFonts w:ascii="Times New Roman" w:eastAsia="Times New Roman" w:hAnsi="Times New Roman" w:cs="Calibri"/>
          <w:sz w:val="24"/>
          <w:szCs w:val="20"/>
          <w:lang w:eastAsia="ar-SA"/>
        </w:rPr>
        <w:t>(4) A jóváhagyott felhalmozási előirányzatokra csak a II. félévben lehet kötelezettséget vállalni, kivéve a folyamatban lévő, már megkezdett felújításokat, beruházásokat.</w:t>
      </w:r>
    </w:p>
    <w:p w:rsidR="00964C71" w:rsidRPr="00964C71" w:rsidRDefault="00964C71" w:rsidP="00964C71">
      <w:pPr>
        <w:tabs>
          <w:tab w:val="left" w:pos="-1843"/>
        </w:tabs>
        <w:suppressAutoHyphens/>
        <w:overflowPunct w:val="0"/>
        <w:autoSpaceDE w:val="0"/>
        <w:spacing w:after="0" w:line="240" w:lineRule="auto"/>
        <w:ind w:left="567" w:hanging="283"/>
        <w:jc w:val="both"/>
        <w:rPr>
          <w:rFonts w:ascii="Times New Roman" w:eastAsia="Times New Roman" w:hAnsi="Times New Roman" w:cs="Calibri"/>
          <w:sz w:val="24"/>
          <w:szCs w:val="20"/>
          <w:lang w:eastAsia="ar-SA"/>
        </w:rPr>
      </w:pPr>
    </w:p>
    <w:p w:rsidR="00964C71" w:rsidRPr="00964C71" w:rsidRDefault="00964C71" w:rsidP="00964C71">
      <w:pPr>
        <w:tabs>
          <w:tab w:val="left" w:pos="-1843"/>
        </w:tabs>
        <w:suppressAutoHyphens/>
        <w:overflowPunct w:val="0"/>
        <w:autoSpaceDE w:val="0"/>
        <w:spacing w:after="0" w:line="240" w:lineRule="auto"/>
        <w:ind w:left="567" w:hanging="567"/>
        <w:jc w:val="both"/>
        <w:rPr>
          <w:rFonts w:ascii="Times New Roman" w:eastAsia="Times New Roman" w:hAnsi="Times New Roman" w:cs="Calibri"/>
          <w:sz w:val="24"/>
          <w:szCs w:val="20"/>
          <w:lang w:eastAsia="ar-SA"/>
        </w:rPr>
      </w:pPr>
      <w:r w:rsidRPr="00964C71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25.§ A költségvetési szervek vezetői felelősek a feladatfinanszírozás alapját képező, finanszírozást megalapozó mutatószámok (létszám stb.) valóságtartalmáért, a támogatások elszámolásához szükséges dokumentumok helyességéért. Kötelesek a támogatás igénylésének és elszámolásának alapját képező nyilvántartásokat naprakészen vezetni. </w:t>
      </w:r>
    </w:p>
    <w:p w:rsidR="00964C71" w:rsidRPr="00964C71" w:rsidRDefault="00964C71" w:rsidP="00964C71">
      <w:pPr>
        <w:tabs>
          <w:tab w:val="left" w:pos="-1843"/>
        </w:tabs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Calibri"/>
          <w:b/>
          <w:i/>
          <w:sz w:val="24"/>
          <w:szCs w:val="24"/>
          <w:lang w:eastAsia="ar-SA"/>
        </w:rPr>
      </w:pPr>
    </w:p>
    <w:p w:rsidR="00964C71" w:rsidRPr="00964C71" w:rsidRDefault="00964C71" w:rsidP="00964C71">
      <w:pPr>
        <w:tabs>
          <w:tab w:val="left" w:pos="-1843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lastRenderedPageBreak/>
        <w:t>26.§. Az önkormányzat által nyújtandó lakásépítési és lakásvásárlási támogatást, valamint a lakóövezetbe sorolt területek közművesítésére biztosított összeget az elkülönített lakásalap-számlán kezelt pénzeszköz terhére elszámolja.</w:t>
      </w:r>
    </w:p>
    <w:p w:rsidR="00964C71" w:rsidRPr="00964C71" w:rsidRDefault="00964C71" w:rsidP="00964C71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964C71" w:rsidRPr="00964C71" w:rsidRDefault="00964C71" w:rsidP="00964C71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964C71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Egyéb rendelkezések</w:t>
      </w:r>
    </w:p>
    <w:p w:rsidR="00964C71" w:rsidRPr="00964C71" w:rsidRDefault="00964C71" w:rsidP="00964C71">
      <w:pPr>
        <w:tabs>
          <w:tab w:val="left" w:pos="-1843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964C71" w:rsidRPr="00964C71" w:rsidRDefault="00964C71" w:rsidP="00964C71">
      <w:pPr>
        <w:tabs>
          <w:tab w:val="left" w:pos="-1843"/>
        </w:tabs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27.§ (1) A Képviselő-testület a civil önszerveződő közösségek, sportegyesületek, együttesek, klubok, alapítványok, egyházi közösségek stb. részére a költségvetésben meghatározott keretösszeg mértékéig pénzbeli támogatást nyújt. A támogatás folyósításának feltétele, hogy a szervezet az önkormányzat által meghatározott pályázati kiírásban rögzítetteket vagy a szervezettel megkötött támogatási szerződésben foglaltakat vállalja. </w:t>
      </w:r>
    </w:p>
    <w:p w:rsidR="00964C71" w:rsidRPr="00964C71" w:rsidRDefault="00964C71" w:rsidP="00964C71">
      <w:pPr>
        <w:tabs>
          <w:tab w:val="left" w:pos="-1843"/>
        </w:tabs>
        <w:suppressAutoHyphens/>
        <w:spacing w:after="0" w:line="240" w:lineRule="auto"/>
        <w:ind w:left="1276" w:hanging="992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964C71" w:rsidRPr="00964C71" w:rsidRDefault="00964C71" w:rsidP="00964C71">
      <w:pPr>
        <w:tabs>
          <w:tab w:val="left" w:pos="-184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>(2) A támogatás folyósítására azt követően kerülhet sor, hogy a támogatott szervezettel az Önkormányzat nevében a polgármester „Megállapodás” -t köt a támogatási összeg rendeltetésszerű felhasználására, valamint annak elszámolására vonatkozóan.</w:t>
      </w:r>
    </w:p>
    <w:p w:rsidR="00964C71" w:rsidRPr="00964C71" w:rsidRDefault="00964C71" w:rsidP="00964C71">
      <w:pPr>
        <w:tabs>
          <w:tab w:val="left" w:pos="-1843"/>
        </w:tabs>
        <w:suppressAutoHyphens/>
        <w:spacing w:after="0" w:line="240" w:lineRule="auto"/>
        <w:ind w:left="1276" w:hanging="425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964C71" w:rsidRPr="00964C71" w:rsidRDefault="00964C71" w:rsidP="00964C71">
      <w:pPr>
        <w:tabs>
          <w:tab w:val="left" w:pos="-184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(3)A Megállapodás megkötésének feltétele, hogy a támogatott szervezet, írásban nyilatkozik arról, hogy köztartozás nem terheli, illetve gazdálkodó és egyéb szervezetek felé fennálló tartozása nincs, valamint, hogy megfelel a közpénzekből nyújtott támogatások átláthatóságáról szóló 2007. évi CLXXXI. törvényben foglalt feltételeknek. </w:t>
      </w:r>
    </w:p>
    <w:p w:rsidR="00964C71" w:rsidRPr="00964C71" w:rsidRDefault="00964C71" w:rsidP="00964C71">
      <w:pPr>
        <w:tabs>
          <w:tab w:val="left" w:pos="-1843"/>
        </w:tabs>
        <w:suppressAutoHyphens/>
        <w:spacing w:after="0" w:line="240" w:lineRule="auto"/>
        <w:ind w:left="1276" w:hanging="425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964C71" w:rsidRPr="00964C71" w:rsidRDefault="00964C71" w:rsidP="00964C71">
      <w:pPr>
        <w:tabs>
          <w:tab w:val="left" w:pos="-184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>(4) A támogatott jogosult részben, vagy egészben lemondani a támogatásról, amennyiben az általa vállat feladat objektív okból nem, vagy csak részben valósítható meg.</w:t>
      </w:r>
    </w:p>
    <w:p w:rsidR="00964C71" w:rsidRPr="00964C71" w:rsidRDefault="00964C71" w:rsidP="00964C71">
      <w:pPr>
        <w:suppressAutoHyphens/>
        <w:spacing w:after="0" w:line="240" w:lineRule="auto"/>
        <w:ind w:left="708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964C71" w:rsidRPr="00964C71" w:rsidRDefault="00964C71" w:rsidP="00964C71">
      <w:pPr>
        <w:tabs>
          <w:tab w:val="left" w:pos="-1843"/>
        </w:tabs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>(5) Amennyiben a pénzeszközátvevő az átvett támogatást vagy annak egy részét jogtalanul vette igénybe, azt nem a pályázatban megjelölt programra, feladatra használta fel, vagy a támogatások igényléséhez valótlan adatokat szolgáltatott, a támogatást az önkormányzat fizetési számlájára köteles egy-összegben visszafizetni.</w:t>
      </w:r>
    </w:p>
    <w:p w:rsidR="00964C71" w:rsidRPr="00964C71" w:rsidRDefault="00964C71" w:rsidP="00964C71">
      <w:pPr>
        <w:tabs>
          <w:tab w:val="left" w:pos="-1843"/>
        </w:tabs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964C71" w:rsidRPr="00964C71" w:rsidRDefault="00964C71" w:rsidP="00964C71">
      <w:pPr>
        <w:tabs>
          <w:tab w:val="left" w:pos="-1843"/>
        </w:tabs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>(6)  A kapott támogatással a civil szervezet a pályázatában megfogalmazott cél, illetve a támogató nyilatkozatban megfogalmazott tevékenység megvalósulását követően 30 napon belül, köteles elszámolni. A havi rendszerességgel, vagy a működtetéshez folyósított támogatások esetében a támogatás felhasználását követően, de legkésőbb a következő költségvetési év január 31-éig köteles elszámolni.</w:t>
      </w:r>
    </w:p>
    <w:p w:rsidR="00964C71" w:rsidRPr="00964C71" w:rsidRDefault="00964C71" w:rsidP="00964C71">
      <w:pPr>
        <w:tabs>
          <w:tab w:val="left" w:pos="-1843"/>
        </w:tabs>
        <w:suppressAutoHyphens/>
        <w:spacing w:after="0" w:line="240" w:lineRule="auto"/>
        <w:ind w:left="1276" w:hanging="425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964C71" w:rsidRPr="00964C71" w:rsidRDefault="00964C71" w:rsidP="00964C71">
      <w:pPr>
        <w:tabs>
          <w:tab w:val="left" w:pos="-1843"/>
        </w:tabs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>(7) A támogatott szervezetek elszámolását (amely szöveges beszámolóból, a felhasználást igazoló számlamásolatokból és a támogatási szerződés mellékletét képező számadásból áll) a revizori feladatok ellátásával megbízott személy ellenőrzi.</w:t>
      </w:r>
    </w:p>
    <w:p w:rsidR="00964C71" w:rsidRPr="00964C71" w:rsidRDefault="00964C71" w:rsidP="00964C71">
      <w:pPr>
        <w:tabs>
          <w:tab w:val="left" w:pos="-1843"/>
        </w:tabs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964C71" w:rsidRPr="00964C71" w:rsidRDefault="00964C71" w:rsidP="00964C71">
      <w:pPr>
        <w:tabs>
          <w:tab w:val="left" w:pos="-1843"/>
        </w:tabs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>(8) Újabb támogatási igény benyújtásának előfeltétele, hogy a támogatott szervezet hiánytalanul eleget tett számadási kötelezettségének és a beszámoló ellenőrzésével megbízott nem talált szabálytalanságot.</w:t>
      </w:r>
    </w:p>
    <w:p w:rsidR="00964C71" w:rsidRPr="00964C71" w:rsidRDefault="00964C71" w:rsidP="00964C71">
      <w:pPr>
        <w:tabs>
          <w:tab w:val="left" w:pos="-1843"/>
        </w:tabs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964C71" w:rsidRPr="00964C71" w:rsidRDefault="00964C71" w:rsidP="00964C71">
      <w:pPr>
        <w:tabs>
          <w:tab w:val="left" w:pos="-1843"/>
        </w:tabs>
        <w:suppressAutoHyphens/>
        <w:overflowPunct w:val="0"/>
        <w:autoSpaceDE w:val="0"/>
        <w:spacing w:after="0" w:line="240" w:lineRule="auto"/>
        <w:ind w:left="993" w:hanging="426"/>
        <w:jc w:val="both"/>
        <w:rPr>
          <w:rFonts w:ascii="Times New Roman" w:eastAsia="Times New Roman" w:hAnsi="Times New Roman" w:cs="Calibri"/>
          <w:sz w:val="24"/>
          <w:szCs w:val="20"/>
          <w:lang w:eastAsia="ar-SA"/>
        </w:rPr>
      </w:pPr>
      <w:r w:rsidRPr="00964C71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(9) A Képviselő-testület által nyújtott, nem normatív, céljellegű működési és fejlesztési támogatások kedvezményezettjeinek nevét, a támogatás célját, összegét - a kettőszázezer forint alatti támogatások kivételével - az önkormányzat honlapján kell közzétenni. </w:t>
      </w:r>
    </w:p>
    <w:p w:rsidR="00964C71" w:rsidRPr="00964C71" w:rsidRDefault="00964C71" w:rsidP="00964C71">
      <w:pPr>
        <w:tabs>
          <w:tab w:val="left" w:pos="-1843"/>
        </w:tabs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964C71" w:rsidRPr="00964C71" w:rsidRDefault="00964C71" w:rsidP="00964C71">
      <w:pPr>
        <w:tabs>
          <w:tab w:val="left" w:pos="-1843"/>
        </w:tabs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964C71" w:rsidRPr="00964C71" w:rsidRDefault="00964C71" w:rsidP="00964C71">
      <w:pPr>
        <w:tabs>
          <w:tab w:val="left" w:pos="-1843"/>
          <w:tab w:val="left" w:pos="284"/>
        </w:tabs>
        <w:suppressAutoHyphens/>
        <w:spacing w:after="0" w:line="240" w:lineRule="auto"/>
        <w:ind w:left="1134" w:hanging="1134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28.§ (1) Az államháztartásról szóló 2011. évi CXCV. törvény (a továbbiakban: Áht.) előírásai alapján </w:t>
      </w:r>
    </w:p>
    <w:p w:rsidR="00964C71" w:rsidRPr="00964C71" w:rsidRDefault="00964C71" w:rsidP="00964C71">
      <w:pPr>
        <w:tabs>
          <w:tab w:val="left" w:pos="-1843"/>
        </w:tabs>
        <w:suppressAutoHyphens/>
        <w:overflowPunct w:val="0"/>
        <w:autoSpaceDE w:val="0"/>
        <w:spacing w:after="0" w:line="240" w:lineRule="auto"/>
        <w:ind w:left="1418" w:hanging="284"/>
        <w:jc w:val="both"/>
        <w:textAlignment w:val="baseline"/>
        <w:rPr>
          <w:rFonts w:ascii="Times New Roman" w:eastAsia="Times New Roman" w:hAnsi="Times New Roman" w:cs="Calibri"/>
          <w:sz w:val="24"/>
          <w:szCs w:val="24"/>
          <w:lang w:eastAsia="ar-SA"/>
        </w:rPr>
      </w:pPr>
      <w:proofErr w:type="gramStart"/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>a</w:t>
      </w:r>
      <w:proofErr w:type="gramEnd"/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>) az önkormányzat 2020. év január 1-ji hitelállományát - lejárat szerinti bontásban -  e rendelet 42. melléklete,</w:t>
      </w:r>
    </w:p>
    <w:p w:rsidR="00964C71" w:rsidRPr="00964C71" w:rsidRDefault="00964C71" w:rsidP="00964C71">
      <w:pPr>
        <w:tabs>
          <w:tab w:val="left" w:pos="-1843"/>
        </w:tabs>
        <w:suppressAutoHyphens/>
        <w:overflowPunct w:val="0"/>
        <w:autoSpaceDE w:val="0"/>
        <w:spacing w:after="0" w:line="240" w:lineRule="auto"/>
        <w:ind w:left="1418" w:hanging="284"/>
        <w:jc w:val="both"/>
        <w:textAlignment w:val="baseline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b) az önkormányzat adósságot keletkeztető ügyleteiből, kezességvállalásokból fennálló kötelezettségeit az adósságot keletkeztető ügyletek futamidejének végéig a 40. melléklete, </w:t>
      </w:r>
    </w:p>
    <w:p w:rsidR="00964C71" w:rsidRPr="00964C71" w:rsidRDefault="00964C71" w:rsidP="00964C71">
      <w:pPr>
        <w:tabs>
          <w:tab w:val="left" w:pos="-1843"/>
        </w:tabs>
        <w:suppressAutoHyphens/>
        <w:overflowPunct w:val="0"/>
        <w:autoSpaceDE w:val="0"/>
        <w:spacing w:after="0" w:line="240" w:lineRule="auto"/>
        <w:ind w:left="1418" w:hanging="284"/>
        <w:jc w:val="both"/>
        <w:textAlignment w:val="baseline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c) az önkormányzat által nyújtott hitelek (kölcsönök) 2020. év január 1-ji állományát - lejárat szerinti bontásban - e rendelet 43. melléklete,  </w:t>
      </w:r>
    </w:p>
    <w:p w:rsidR="00964C71" w:rsidRPr="00964C71" w:rsidRDefault="00964C71" w:rsidP="00964C71">
      <w:pPr>
        <w:tabs>
          <w:tab w:val="left" w:pos="-1843"/>
        </w:tabs>
        <w:suppressAutoHyphens/>
        <w:overflowPunct w:val="0"/>
        <w:autoSpaceDE w:val="0"/>
        <w:spacing w:after="0" w:line="240" w:lineRule="auto"/>
        <w:ind w:left="1418" w:hanging="284"/>
        <w:jc w:val="both"/>
        <w:textAlignment w:val="baseline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>d) a közvetett támogatások 2020. évre tervezett összegét e rendelet 45. melléklete,</w:t>
      </w:r>
    </w:p>
    <w:p w:rsidR="00964C71" w:rsidRPr="00964C71" w:rsidRDefault="00964C71" w:rsidP="00964C71">
      <w:pPr>
        <w:tabs>
          <w:tab w:val="left" w:pos="-1843"/>
        </w:tabs>
        <w:suppressAutoHyphens/>
        <w:overflowPunct w:val="0"/>
        <w:autoSpaceDE w:val="0"/>
        <w:spacing w:after="0" w:line="240" w:lineRule="auto"/>
        <w:ind w:left="1418" w:hanging="284"/>
        <w:jc w:val="both"/>
        <w:textAlignment w:val="baseline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>e) az önkormányzat - tervezett - pénzeszköz változását e rendelet 44. melléklete tartalmazza tájékoztató jelleggel.</w:t>
      </w:r>
    </w:p>
    <w:p w:rsidR="00964C71" w:rsidRPr="00964C71" w:rsidRDefault="00964C71" w:rsidP="00964C71">
      <w:pPr>
        <w:suppressAutoHyphens/>
        <w:overflowPunct w:val="0"/>
        <w:autoSpaceDE w:val="0"/>
        <w:spacing w:after="0" w:line="240" w:lineRule="auto"/>
        <w:ind w:left="1134" w:hanging="283"/>
        <w:jc w:val="both"/>
        <w:textAlignment w:val="baseline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>(2) Az (1) bekezdésben felsorolt és tájékoztató jelleggel a képviselő-testület részére bemutatott mellékleteket ugyanilyen szerkezetben - az adott évre vonatkozó tartalommal - kell benyújtani a következő évek költségvetésének előterjesztésekor is.</w:t>
      </w:r>
    </w:p>
    <w:p w:rsidR="00964C71" w:rsidRPr="00964C71" w:rsidRDefault="00964C71" w:rsidP="00964C71">
      <w:pPr>
        <w:suppressAutoHyphens/>
        <w:overflowPunct w:val="0"/>
        <w:autoSpaceDE w:val="0"/>
        <w:spacing w:after="0" w:line="240" w:lineRule="auto"/>
        <w:ind w:left="1134" w:hanging="283"/>
        <w:jc w:val="both"/>
        <w:textAlignment w:val="baseline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(3) Az Áht. előírásai alapján az évenkénti zárszámadási rendelettervezet előterjesztésekor </w:t>
      </w:r>
    </w:p>
    <w:p w:rsidR="00964C71" w:rsidRPr="00964C71" w:rsidRDefault="00964C71" w:rsidP="00964C71">
      <w:pPr>
        <w:suppressAutoHyphens/>
        <w:overflowPunct w:val="0"/>
        <w:autoSpaceDE w:val="0"/>
        <w:spacing w:after="0" w:line="240" w:lineRule="auto"/>
        <w:ind w:left="1560" w:hanging="426"/>
        <w:jc w:val="both"/>
        <w:textAlignment w:val="baseline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>a) az önkormányzat adósságának állományát e rendelet 46., lejáratszerinti bontásban a 48.  számú melléklete, valamint a 40. melléklete,</w:t>
      </w:r>
    </w:p>
    <w:p w:rsidR="00964C71" w:rsidRPr="00964C71" w:rsidRDefault="00964C71" w:rsidP="00964C71">
      <w:pPr>
        <w:suppressAutoHyphens/>
        <w:overflowPunct w:val="0"/>
        <w:autoSpaceDE w:val="0"/>
        <w:spacing w:after="0" w:line="240" w:lineRule="auto"/>
        <w:ind w:left="1560" w:hanging="426"/>
        <w:jc w:val="both"/>
        <w:textAlignment w:val="baseline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>b) az önkormányzat által nyújtott hitelek (kölcsönök) állományát e rendelet 47. melléklete,</w:t>
      </w:r>
    </w:p>
    <w:p w:rsidR="00964C71" w:rsidRPr="00964C71" w:rsidRDefault="00964C71" w:rsidP="00964C71">
      <w:pPr>
        <w:suppressAutoHyphens/>
        <w:overflowPunct w:val="0"/>
        <w:autoSpaceDE w:val="0"/>
        <w:spacing w:after="0" w:line="240" w:lineRule="auto"/>
        <w:ind w:left="1560" w:hanging="426"/>
        <w:jc w:val="both"/>
        <w:textAlignment w:val="baseline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>c) a közvetett támogatások összegét - szöveges indokolással - e rendelet 49. melléklete,</w:t>
      </w:r>
    </w:p>
    <w:p w:rsidR="00964C71" w:rsidRPr="00964C71" w:rsidRDefault="00964C71" w:rsidP="00964C71">
      <w:pPr>
        <w:suppressAutoHyphens/>
        <w:overflowPunct w:val="0"/>
        <w:autoSpaceDE w:val="0"/>
        <w:spacing w:after="0" w:line="240" w:lineRule="auto"/>
        <w:ind w:left="1560" w:hanging="426"/>
        <w:jc w:val="both"/>
        <w:textAlignment w:val="baseline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>d) az önkormányzat pénzeszközeinek változását e rendelet 50. melléklete szerinti táblázatokban, míg</w:t>
      </w:r>
    </w:p>
    <w:p w:rsidR="00964C71" w:rsidRPr="00964C71" w:rsidRDefault="00964C71" w:rsidP="00964C71">
      <w:pPr>
        <w:suppressAutoHyphens/>
        <w:overflowPunct w:val="0"/>
        <w:autoSpaceDE w:val="0"/>
        <w:spacing w:after="0" w:line="240" w:lineRule="auto"/>
        <w:ind w:left="1560" w:hanging="426"/>
        <w:jc w:val="both"/>
        <w:textAlignment w:val="baseline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>e) az Áht. 91. §</w:t>
      </w:r>
      <w:proofErr w:type="spellStart"/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>-ának</w:t>
      </w:r>
      <w:proofErr w:type="spellEnd"/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(2) bekezdés c) pontjában meghatározott, az Önkormányzat képviselő-testülete részére a zárszámadáshoz csatolt vagyonkimutatást az államháztartás számviteléről szóló 4/2013. (I.11) Kormányrendelet 30. § szerint meghatározott szerkezetű és tartalmú mérlegséma szerint kell bemutatni - tájékoztató jelleggel -, azt tovább nem kell részletezni;</w:t>
      </w:r>
    </w:p>
    <w:p w:rsidR="00964C71" w:rsidRPr="00964C71" w:rsidRDefault="00964C71" w:rsidP="00964C71">
      <w:pPr>
        <w:suppressAutoHyphens/>
        <w:overflowPunct w:val="0"/>
        <w:autoSpaceDE w:val="0"/>
        <w:spacing w:after="0" w:line="240" w:lineRule="auto"/>
        <w:ind w:left="1560" w:hanging="426"/>
        <w:jc w:val="both"/>
        <w:textAlignment w:val="baseline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>f) a költségvetési szervek elemi beszámolóikat az államháztartás számviteléről szóló 4/2013. (I.11) Kormányrendelet 32. §</w:t>
      </w:r>
      <w:proofErr w:type="spellStart"/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>-ában</w:t>
      </w:r>
      <w:proofErr w:type="spellEnd"/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meghatározott időpontig jóváhagyásra az irányító szerv vezetőjének megküldik.  </w:t>
      </w:r>
    </w:p>
    <w:p w:rsidR="00964C71" w:rsidRDefault="00964C71" w:rsidP="00964C71">
      <w:pPr>
        <w:suppressAutoHyphens/>
        <w:spacing w:after="0" w:line="240" w:lineRule="auto"/>
        <w:ind w:left="567" w:hanging="567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964C71" w:rsidRPr="00964C71" w:rsidRDefault="00964C71" w:rsidP="00964C71">
      <w:pPr>
        <w:suppressAutoHyphens/>
        <w:spacing w:after="0" w:line="240" w:lineRule="auto"/>
        <w:ind w:left="567" w:hanging="567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964C71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Záró rendelkezés</w:t>
      </w:r>
    </w:p>
    <w:p w:rsidR="00964C71" w:rsidRPr="00964C71" w:rsidRDefault="00964C71" w:rsidP="00964C71">
      <w:p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Calibri"/>
          <w:color w:val="548DD4"/>
          <w:sz w:val="24"/>
          <w:szCs w:val="24"/>
          <w:lang w:eastAsia="ar-SA"/>
        </w:rPr>
      </w:pPr>
    </w:p>
    <w:p w:rsidR="00964C71" w:rsidRPr="00964C71" w:rsidRDefault="00964C71" w:rsidP="00964C71">
      <w:p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>29.§ Ez a rendelet a kihirdetését követő első napon lép hatályba, de rendelkezéseit 2020. január 1-től kell alkalmazni.</w:t>
      </w:r>
    </w:p>
    <w:p w:rsidR="00964C71" w:rsidRPr="00964C71" w:rsidRDefault="00964C71" w:rsidP="00964C71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</w:p>
    <w:p w:rsidR="00964C71" w:rsidRPr="00964C71" w:rsidRDefault="00964C71" w:rsidP="00964C71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964C71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 xml:space="preserve">    </w:t>
      </w:r>
      <w:r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 xml:space="preserve">      </w:t>
      </w:r>
      <w:r w:rsidRPr="00964C71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 xml:space="preserve">Dr. Jakab </w:t>
      </w:r>
      <w:proofErr w:type="gramStart"/>
      <w:r w:rsidRPr="00964C71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 xml:space="preserve">Orsolya                                                            </w:t>
      </w:r>
      <w:r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 xml:space="preserve">  </w:t>
      </w:r>
      <w:r w:rsidRPr="00964C71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 xml:space="preserve">   Dr.</w:t>
      </w:r>
      <w:proofErr w:type="gramEnd"/>
      <w:r w:rsidRPr="00964C71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 xml:space="preserve"> Fekete Zoltán </w:t>
      </w:r>
    </w:p>
    <w:p w:rsidR="00964C71" w:rsidRPr="00964C71" w:rsidRDefault="00964C71" w:rsidP="00964C71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               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Pr="00964C7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Pr="00964C71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jegyző                                                                                polgármester</w:t>
      </w:r>
    </w:p>
    <w:p w:rsidR="00964C71" w:rsidRDefault="00964C71" w:rsidP="00964C71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964C71" w:rsidRPr="00964C71" w:rsidRDefault="00964C71" w:rsidP="00964C71">
      <w:pPr>
        <w:suppressAutoHyphens/>
        <w:spacing w:after="0" w:line="240" w:lineRule="auto"/>
        <w:rPr>
          <w:rFonts w:ascii="Times New Roman" w:eastAsia="Times New Roman" w:hAnsi="Times New Roman" w:cs="Calibri"/>
          <w:bCs/>
          <w:sz w:val="24"/>
          <w:szCs w:val="24"/>
          <w:lang w:eastAsia="ar-SA"/>
        </w:rPr>
      </w:pPr>
      <w:r w:rsidRPr="00964C71">
        <w:rPr>
          <w:rFonts w:ascii="Times New Roman" w:eastAsia="Times New Roman" w:hAnsi="Times New Roman" w:cs="Calibri"/>
          <w:bCs/>
          <w:sz w:val="24"/>
          <w:szCs w:val="24"/>
          <w:lang w:eastAsia="ar-SA"/>
        </w:rPr>
        <w:t>A rendelet kihirdetésének dátuma:</w:t>
      </w:r>
    </w:p>
    <w:p w:rsidR="00964C71" w:rsidRPr="00964C71" w:rsidRDefault="00964C71" w:rsidP="00964C71">
      <w:pPr>
        <w:suppressAutoHyphens/>
        <w:spacing w:after="0" w:line="240" w:lineRule="auto"/>
        <w:rPr>
          <w:rFonts w:ascii="Times New Roman" w:eastAsia="Times New Roman" w:hAnsi="Times New Roman" w:cs="Calibri"/>
          <w:bCs/>
          <w:sz w:val="24"/>
          <w:szCs w:val="24"/>
          <w:lang w:eastAsia="ar-SA"/>
        </w:rPr>
      </w:pPr>
      <w:r w:rsidRPr="00964C71">
        <w:rPr>
          <w:rFonts w:ascii="Times New Roman" w:eastAsia="Times New Roman" w:hAnsi="Times New Roman" w:cs="Calibri"/>
          <w:bCs/>
          <w:sz w:val="24"/>
          <w:szCs w:val="24"/>
          <w:lang w:eastAsia="ar-SA"/>
        </w:rPr>
        <w:t>2020</w:t>
      </w:r>
      <w:r>
        <w:rPr>
          <w:rFonts w:ascii="Times New Roman" w:eastAsia="Times New Roman" w:hAnsi="Times New Roman" w:cs="Calibri"/>
          <w:bCs/>
          <w:sz w:val="24"/>
          <w:szCs w:val="24"/>
          <w:lang w:eastAsia="ar-SA"/>
        </w:rPr>
        <w:t>. február 27.</w:t>
      </w:r>
    </w:p>
    <w:p w:rsidR="001F419E" w:rsidRDefault="001F419E" w:rsidP="00964C71">
      <w:pPr>
        <w:suppressAutoHyphens/>
        <w:spacing w:after="0" w:line="240" w:lineRule="auto"/>
        <w:rPr>
          <w:rFonts w:ascii="Times New Roman" w:eastAsia="Times New Roman" w:hAnsi="Times New Roman" w:cs="Calibri"/>
          <w:bCs/>
          <w:sz w:val="24"/>
          <w:szCs w:val="24"/>
          <w:lang w:eastAsia="ar-SA"/>
        </w:rPr>
      </w:pPr>
    </w:p>
    <w:p w:rsidR="00964C71" w:rsidRPr="00964C71" w:rsidRDefault="00964C71" w:rsidP="00964C71">
      <w:pPr>
        <w:suppressAutoHyphens/>
        <w:spacing w:after="0" w:line="240" w:lineRule="auto"/>
        <w:rPr>
          <w:rFonts w:ascii="Times New Roman" w:eastAsia="Times New Roman" w:hAnsi="Times New Roman" w:cs="Calibri"/>
          <w:bCs/>
          <w:sz w:val="24"/>
          <w:szCs w:val="24"/>
          <w:lang w:eastAsia="ar-SA"/>
        </w:rPr>
      </w:pPr>
      <w:bookmarkStart w:id="0" w:name="_GoBack"/>
      <w:bookmarkEnd w:id="0"/>
      <w:r w:rsidRPr="00964C71">
        <w:rPr>
          <w:rFonts w:ascii="Times New Roman" w:eastAsia="Times New Roman" w:hAnsi="Times New Roman" w:cs="Calibri"/>
          <w:bCs/>
          <w:sz w:val="24"/>
          <w:szCs w:val="24"/>
          <w:lang w:eastAsia="ar-SA"/>
        </w:rPr>
        <w:t>Dr. Jakab Orsolya</w:t>
      </w:r>
    </w:p>
    <w:p w:rsidR="00B951CF" w:rsidRPr="00964C71" w:rsidRDefault="00964C71" w:rsidP="00964C71">
      <w:pPr>
        <w:suppressAutoHyphens/>
        <w:spacing w:after="0" w:line="240" w:lineRule="auto"/>
        <w:rPr>
          <w:rFonts w:ascii="Times New Roman" w:eastAsia="Times New Roman" w:hAnsi="Times New Roman" w:cs="Calibri"/>
          <w:bCs/>
          <w:sz w:val="24"/>
          <w:szCs w:val="24"/>
          <w:lang w:eastAsia="ar-SA"/>
        </w:rPr>
      </w:pPr>
      <w:r w:rsidRPr="00964C71">
        <w:rPr>
          <w:rFonts w:ascii="Times New Roman" w:eastAsia="Times New Roman" w:hAnsi="Times New Roman" w:cs="Calibri"/>
          <w:bCs/>
          <w:sz w:val="24"/>
          <w:szCs w:val="24"/>
          <w:lang w:eastAsia="ar-SA"/>
        </w:rPr>
        <w:t xml:space="preserve">        jegyző</w:t>
      </w:r>
    </w:p>
    <w:sectPr w:rsidR="00B951CF" w:rsidRPr="00964C71" w:rsidSect="00BA1732">
      <w:pgSz w:w="12240" w:h="15840"/>
      <w:pgMar w:top="992" w:right="1418" w:bottom="1418" w:left="1418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12C08F5A"/>
    <w:name w:val="WW8Num14"/>
    <w:lvl w:ilvl="0">
      <w:start w:val="3"/>
      <w:numFmt w:val="decimal"/>
      <w:lvlText w:val="(%1)"/>
      <w:lvlJc w:val="left"/>
      <w:pPr>
        <w:tabs>
          <w:tab w:val="num" w:pos="-283"/>
        </w:tabs>
        <w:ind w:left="644" w:hanging="360"/>
      </w:pPr>
    </w:lvl>
  </w:abstractNum>
  <w:abstractNum w:abstractNumId="1">
    <w:nsid w:val="0000000A"/>
    <w:multiLevelType w:val="singleLevel"/>
    <w:tmpl w:val="0000000A"/>
    <w:name w:val="WW8Num16"/>
    <w:lvl w:ilvl="0">
      <w:start w:val="2"/>
      <w:numFmt w:val="decimal"/>
      <w:lvlText w:val="(%1) "/>
      <w:lvlJc w:val="left"/>
      <w:pPr>
        <w:tabs>
          <w:tab w:val="num" w:pos="0"/>
        </w:tabs>
        <w:ind w:left="850" w:hanging="283"/>
      </w:pPr>
      <w:rPr>
        <w:b w:val="0"/>
        <w:i w:val="0"/>
        <w:sz w:val="24"/>
      </w:rPr>
    </w:lvl>
  </w:abstractNum>
  <w:abstractNum w:abstractNumId="2">
    <w:nsid w:val="15657D17"/>
    <w:multiLevelType w:val="hybridMultilevel"/>
    <w:tmpl w:val="B440ADCC"/>
    <w:lvl w:ilvl="0" w:tplc="EA2403D0">
      <w:start w:val="2"/>
      <w:numFmt w:val="decimal"/>
      <w:lvlText w:val="(%1)"/>
      <w:lvlJc w:val="left"/>
      <w:pPr>
        <w:ind w:left="927" w:hanging="360"/>
      </w:pPr>
      <w:rPr>
        <w:i w:val="0"/>
      </w:rPr>
    </w:lvl>
    <w:lvl w:ilvl="1" w:tplc="040E0019">
      <w:start w:val="1"/>
      <w:numFmt w:val="lowerLetter"/>
      <w:lvlText w:val="%2."/>
      <w:lvlJc w:val="left"/>
      <w:pPr>
        <w:ind w:left="1647" w:hanging="360"/>
      </w:pPr>
    </w:lvl>
    <w:lvl w:ilvl="2" w:tplc="040E001B">
      <w:start w:val="1"/>
      <w:numFmt w:val="lowerRoman"/>
      <w:lvlText w:val="%3."/>
      <w:lvlJc w:val="right"/>
      <w:pPr>
        <w:ind w:left="2367" w:hanging="180"/>
      </w:pPr>
    </w:lvl>
    <w:lvl w:ilvl="3" w:tplc="040E000F">
      <w:start w:val="1"/>
      <w:numFmt w:val="decimal"/>
      <w:lvlText w:val="%4."/>
      <w:lvlJc w:val="left"/>
      <w:pPr>
        <w:ind w:left="3087" w:hanging="360"/>
      </w:pPr>
    </w:lvl>
    <w:lvl w:ilvl="4" w:tplc="040E0019">
      <w:start w:val="1"/>
      <w:numFmt w:val="lowerLetter"/>
      <w:lvlText w:val="%5."/>
      <w:lvlJc w:val="left"/>
      <w:pPr>
        <w:ind w:left="3807" w:hanging="360"/>
      </w:pPr>
    </w:lvl>
    <w:lvl w:ilvl="5" w:tplc="040E001B">
      <w:start w:val="1"/>
      <w:numFmt w:val="lowerRoman"/>
      <w:lvlText w:val="%6."/>
      <w:lvlJc w:val="right"/>
      <w:pPr>
        <w:ind w:left="4527" w:hanging="180"/>
      </w:pPr>
    </w:lvl>
    <w:lvl w:ilvl="6" w:tplc="040E000F">
      <w:start w:val="1"/>
      <w:numFmt w:val="decimal"/>
      <w:lvlText w:val="%7."/>
      <w:lvlJc w:val="left"/>
      <w:pPr>
        <w:ind w:left="5247" w:hanging="360"/>
      </w:pPr>
    </w:lvl>
    <w:lvl w:ilvl="7" w:tplc="040E0019">
      <w:start w:val="1"/>
      <w:numFmt w:val="lowerLetter"/>
      <w:lvlText w:val="%8."/>
      <w:lvlJc w:val="left"/>
      <w:pPr>
        <w:ind w:left="5967" w:hanging="360"/>
      </w:pPr>
    </w:lvl>
    <w:lvl w:ilvl="8" w:tplc="040E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8227FF5"/>
    <w:multiLevelType w:val="hybridMultilevel"/>
    <w:tmpl w:val="7F86A846"/>
    <w:lvl w:ilvl="0" w:tplc="DE7A9EEC">
      <w:start w:val="2"/>
      <w:numFmt w:val="decimal"/>
      <w:lvlText w:val="(%1)"/>
      <w:lvlJc w:val="left"/>
      <w:pPr>
        <w:ind w:left="927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BE1584"/>
    <w:multiLevelType w:val="hybridMultilevel"/>
    <w:tmpl w:val="5BF8C93C"/>
    <w:lvl w:ilvl="0" w:tplc="DE7A9EEC">
      <w:start w:val="2"/>
      <w:numFmt w:val="decimal"/>
      <w:lvlText w:val="(%1)"/>
      <w:lvlJc w:val="left"/>
      <w:pPr>
        <w:ind w:left="927" w:hanging="360"/>
      </w:pPr>
    </w:lvl>
    <w:lvl w:ilvl="1" w:tplc="040E0019">
      <w:start w:val="1"/>
      <w:numFmt w:val="lowerLetter"/>
      <w:lvlText w:val="%2."/>
      <w:lvlJc w:val="left"/>
      <w:pPr>
        <w:ind w:left="1647" w:hanging="360"/>
      </w:pPr>
    </w:lvl>
    <w:lvl w:ilvl="2" w:tplc="040E001B">
      <w:start w:val="1"/>
      <w:numFmt w:val="lowerRoman"/>
      <w:lvlText w:val="%3."/>
      <w:lvlJc w:val="right"/>
      <w:pPr>
        <w:ind w:left="2367" w:hanging="180"/>
      </w:pPr>
    </w:lvl>
    <w:lvl w:ilvl="3" w:tplc="040E000F">
      <w:start w:val="1"/>
      <w:numFmt w:val="decimal"/>
      <w:lvlText w:val="%4."/>
      <w:lvlJc w:val="left"/>
      <w:pPr>
        <w:ind w:left="3087" w:hanging="360"/>
      </w:pPr>
    </w:lvl>
    <w:lvl w:ilvl="4" w:tplc="040E0019">
      <w:start w:val="1"/>
      <w:numFmt w:val="lowerLetter"/>
      <w:lvlText w:val="%5."/>
      <w:lvlJc w:val="left"/>
      <w:pPr>
        <w:ind w:left="3807" w:hanging="360"/>
      </w:pPr>
    </w:lvl>
    <w:lvl w:ilvl="5" w:tplc="040E001B">
      <w:start w:val="1"/>
      <w:numFmt w:val="lowerRoman"/>
      <w:lvlText w:val="%6."/>
      <w:lvlJc w:val="right"/>
      <w:pPr>
        <w:ind w:left="4527" w:hanging="180"/>
      </w:pPr>
    </w:lvl>
    <w:lvl w:ilvl="6" w:tplc="040E000F">
      <w:start w:val="1"/>
      <w:numFmt w:val="decimal"/>
      <w:lvlText w:val="%7."/>
      <w:lvlJc w:val="left"/>
      <w:pPr>
        <w:ind w:left="5247" w:hanging="360"/>
      </w:pPr>
    </w:lvl>
    <w:lvl w:ilvl="7" w:tplc="040E0019">
      <w:start w:val="1"/>
      <w:numFmt w:val="lowerLetter"/>
      <w:lvlText w:val="%8."/>
      <w:lvlJc w:val="left"/>
      <w:pPr>
        <w:ind w:left="5967" w:hanging="360"/>
      </w:pPr>
    </w:lvl>
    <w:lvl w:ilvl="8" w:tplc="040E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E773FCD"/>
    <w:multiLevelType w:val="hybridMultilevel"/>
    <w:tmpl w:val="3BDCB73C"/>
    <w:lvl w:ilvl="0" w:tplc="C3842476">
      <w:start w:val="7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</w:num>
  <w:num w:numId="4">
    <w:abstractNumId w:val="5"/>
  </w:num>
  <w:num w:numId="5">
    <w:abstractNumId w:val="1"/>
    <w:lvlOverride w:ilvl="0">
      <w:startOverride w:val="2"/>
    </w:lvlOverride>
  </w:num>
  <w:num w:numId="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C71"/>
    <w:rsid w:val="001F419E"/>
    <w:rsid w:val="00964C71"/>
    <w:rsid w:val="00B951CF"/>
    <w:rsid w:val="00BA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64C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64C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2732</Words>
  <Characters>18858</Characters>
  <Application>Microsoft Office Word</Application>
  <DocSecurity>0</DocSecurity>
  <Lines>157</Lines>
  <Paragraphs>43</Paragraphs>
  <ScaleCrop>false</ScaleCrop>
  <Company/>
  <LinksUpToDate>false</LinksUpToDate>
  <CharactersWithSpaces>21547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PC055</dc:creator>
  <cp:keywords/>
  <dc:description/>
  <cp:lastModifiedBy>MPanyi Márta</cp:lastModifiedBy>
  <cp:revision>2</cp:revision>
  <dcterms:created xsi:type="dcterms:W3CDTF">2020-02-27T09:01:00Z</dcterms:created>
  <dcterms:modified xsi:type="dcterms:W3CDTF">2020-02-27T13:10:00Z</dcterms:modified>
</cp:coreProperties>
</file>