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E9" w:rsidRPr="00960AF9" w:rsidRDefault="00745BE9" w:rsidP="00745BE9">
      <w:pPr>
        <w:tabs>
          <w:tab w:val="left" w:pos="360"/>
        </w:tabs>
        <w:spacing w:after="80"/>
        <w:jc w:val="both"/>
        <w:rPr>
          <w:rFonts w:eastAsia="Arial" w:cs="Arial"/>
          <w:i/>
        </w:rPr>
      </w:pPr>
      <w:r w:rsidRPr="00960AF9">
        <w:rPr>
          <w:rFonts w:eastAsia="Arial" w:cs="Arial"/>
          <w:i/>
        </w:rPr>
        <w:t>23. melléklet a 27/2011. (XI.30.) önkormányzati rendelethez</w:t>
      </w:r>
      <w:r w:rsidRPr="00960AF9">
        <w:rPr>
          <w:rStyle w:val="Lbjegyzet-hivatkozs"/>
          <w:rFonts w:eastAsia="Arial" w:cs="Arial"/>
          <w:i/>
        </w:rPr>
        <w:footnoteReference w:id="2"/>
      </w:r>
      <w:r w:rsidRPr="00960AF9">
        <w:rPr>
          <w:rFonts w:eastAsia="Arial" w:cs="Arial"/>
          <w:i/>
        </w:rPr>
        <w:t xml:space="preserve"> </w:t>
      </w:r>
      <w:r>
        <w:rPr>
          <w:rStyle w:val="Lbjegyzet-hivatkozs"/>
          <w:rFonts w:eastAsia="Arial" w:cs="Arial"/>
          <w:i/>
        </w:rPr>
        <w:footnoteReference w:id="3"/>
      </w:r>
    </w:p>
    <w:p w:rsidR="00745BE9" w:rsidRPr="001377C6" w:rsidRDefault="00745BE9" w:rsidP="00745BE9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hu-HU" w:bidi="ar-SA"/>
        </w:rPr>
        <w:t xml:space="preserve">Elővásárlási joggal terhelt ingatlanok: </w:t>
      </w:r>
    </w:p>
    <w:p w:rsidR="00745BE9" w:rsidRPr="001377C6" w:rsidRDefault="00745BE9" w:rsidP="00745BE9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hu-HU" w:bidi="ar-SA"/>
        </w:rPr>
        <w:t>Hrsz.: 03/1, 03/3, 03/5, 03/7, 03/8, 03/9, 03/10, 03/11, 03/12, 03/13, 016/2, 016/3, 016/4, 016/5, 016/6, 016/7, 016/7, 016/8, 016/9, 016/10, 016/11, 016/12, 016/13, 016/14, 016/15, 016/17, 016/18, 016/19, 016/20, 016/21, 016/22, 016/23, 016/24, 016/44, 016/45, 016/46, 016/47, 016/48, 016/26, 016/28, 016/30, 016/31, 016/32, 016/33, 016/34, 016/35 hrsz.</w:t>
      </w:r>
    </w:p>
    <w:p w:rsidR="00745BE9" w:rsidRDefault="00745BE9" w:rsidP="00745BE9">
      <w:pPr>
        <w:widowControl/>
        <w:suppressAutoHyphens w:val="0"/>
        <w:spacing w:before="100" w:beforeAutospacing="1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hu-HU" w:bidi="ar-SA"/>
        </w:rPr>
      </w:pPr>
      <w:r w:rsidRPr="001377C6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hu-HU" w:bidi="ar-SA"/>
        </w:rPr>
        <w:t xml:space="preserve">Elővásárlási jog célja: </w:t>
      </w: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>közérdekből történő terület- és településrendezés (</w:t>
      </w:r>
      <w:r w:rsidRPr="001377C6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hu-HU" w:bidi="ar-SA"/>
        </w:rPr>
        <w:t>gazdasági terület kialakítása)</w:t>
      </w:r>
    </w:p>
    <w:p w:rsidR="00745BE9" w:rsidRPr="001377C6" w:rsidRDefault="00745BE9" w:rsidP="00745BE9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u w:val="single"/>
          <w:lang w:eastAsia="hu-HU" w:bidi="ar-SA"/>
        </w:rPr>
        <w:t xml:space="preserve">Várfürdő és környezete: I. ütem: 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>Hrsz.: 524., 529.,530., 547., 965/2., 4131/2., 0175/4., 0175/5., 0175/6.,0175/7., 0175/8., 0175/12.,0175/13., 0175/14., 0175/16.,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 xml:space="preserve">Elővásárlási jog célja: </w:t>
      </w:r>
      <w:r w:rsidRPr="001377C6">
        <w:rPr>
          <w:rFonts w:eastAsia="Times New Roman" w:cs="Times New Roman"/>
          <w:i/>
          <w:iCs/>
          <w:kern w:val="0"/>
          <w:sz w:val="22"/>
          <w:szCs w:val="22"/>
          <w:shd w:val="clear" w:color="auto" w:fill="C4BC96"/>
          <w:lang w:eastAsia="hu-HU" w:bidi="ar-SA"/>
        </w:rPr>
        <w:t xml:space="preserve">közérdekből történő terület- és településrendezés (sport-és szabadidő infrastruktúra- fejlesztés 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>Hrsz.: 0179/1, 0179/2, 0179/3, 0179/4, 0179/5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 xml:space="preserve">Elővásárlási jog célja: </w:t>
      </w:r>
      <w:r w:rsidRPr="001377C6">
        <w:rPr>
          <w:rFonts w:eastAsia="Times New Roman" w:cs="Times New Roman"/>
          <w:i/>
          <w:iCs/>
          <w:kern w:val="0"/>
          <w:sz w:val="22"/>
          <w:szCs w:val="22"/>
          <w:shd w:val="clear" w:color="auto" w:fill="C4BC96"/>
          <w:lang w:eastAsia="hu-HU" w:bidi="ar-SA"/>
        </w:rPr>
        <w:t xml:space="preserve">közérdekből történő terület- és településrendezés (sport-és szabadidő infrastruktúra fejlesztés 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u w:val="single"/>
          <w:lang w:eastAsia="hu-HU" w:bidi="ar-SA"/>
        </w:rPr>
        <w:t xml:space="preserve">Sport terület, fejlesztés II. ütem (belterületi szabályozási tervlapon jelölt ingatlanok részek): 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>Hrsz.: 924., 927., 928., 929., 931/1., 932., 933., 934., 935., 936., 937/1., 938., 939., 940/1., 940/2.,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 xml:space="preserve">Elővásárlási jog célja: </w:t>
      </w:r>
      <w:r w:rsidRPr="001377C6">
        <w:rPr>
          <w:rFonts w:eastAsia="Times New Roman" w:cs="Times New Roman"/>
          <w:i/>
          <w:iCs/>
          <w:kern w:val="0"/>
          <w:sz w:val="22"/>
          <w:szCs w:val="22"/>
          <w:shd w:val="clear" w:color="auto" w:fill="C4BC96"/>
          <w:lang w:eastAsia="hu-HU" w:bidi="ar-SA"/>
        </w:rPr>
        <w:t xml:space="preserve">közérdekből történő terület- és településrendezés (sport-és szabadidő infrastruktúra- fejlesztés 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u w:val="single"/>
          <w:lang w:eastAsia="hu-HU" w:bidi="ar-SA"/>
        </w:rPr>
        <w:t>Futballakadémia: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>Hrsz.: 1169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 xml:space="preserve">Elővásárlási jog célja: </w:t>
      </w:r>
      <w:r w:rsidRPr="001377C6">
        <w:rPr>
          <w:rFonts w:eastAsia="Times New Roman" w:cs="Times New Roman"/>
          <w:i/>
          <w:iCs/>
          <w:kern w:val="0"/>
          <w:sz w:val="22"/>
          <w:szCs w:val="22"/>
          <w:shd w:val="clear" w:color="auto" w:fill="C4BC96"/>
          <w:lang w:eastAsia="hu-HU" w:bidi="ar-SA"/>
        </w:rPr>
        <w:t xml:space="preserve">közérdekből történő terület- és településrendezés (sport-, oktatási célú intézményfejlesztés 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u w:val="single"/>
          <w:lang w:eastAsia="hu-HU" w:bidi="ar-SA"/>
        </w:rPr>
        <w:t>Bentlakásos, ápolást-gondozást nyújtó idősek otthona: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>Hrsz: 3525/2., 3526., 3527., 3528., 3529., 3530., 3531., 3534/1, 3535/1., 3535/2, 3536., 3537.,3538., 3539., 3540., 3541., 3542., 3543., 3547/5, 3549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 xml:space="preserve">7150., 7151/1., 7151/2., 7152., 7153/1., 7153/2., 7154/1., 7154/2., 7155/1., 7155/2., 7155/3., 7157., 7158/1., 7158/3., 7158/4., 7159/1., 7160/2., 7160/3., 7160/4., 7160/5., 7160/6., 7160/7., 7160/8., 7160/9., 7160/10., </w:t>
      </w:r>
    </w:p>
    <w:p w:rsidR="00745BE9" w:rsidRPr="001377C6" w:rsidRDefault="00745BE9" w:rsidP="00745BE9">
      <w:pPr>
        <w:widowControl/>
        <w:shd w:val="clear" w:color="auto" w:fill="C4BC96"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 xml:space="preserve">Elővásárlási jog célja: </w:t>
      </w:r>
      <w:r w:rsidRPr="001377C6">
        <w:rPr>
          <w:rFonts w:eastAsia="Times New Roman" w:cs="Times New Roman"/>
          <w:i/>
          <w:iCs/>
          <w:kern w:val="0"/>
          <w:sz w:val="22"/>
          <w:szCs w:val="22"/>
          <w:shd w:val="clear" w:color="auto" w:fill="C4BC96"/>
          <w:lang w:eastAsia="hu-HU" w:bidi="ar-SA"/>
        </w:rPr>
        <w:t>közérdekből történő terület- és településrendezés (</w:t>
      </w:r>
      <w:r w:rsidRPr="001377C6">
        <w:rPr>
          <w:rFonts w:eastAsia="Times New Roman" w:cs="Times New Roman"/>
          <w:i/>
          <w:iCs/>
          <w:kern w:val="0"/>
          <w:sz w:val="22"/>
          <w:szCs w:val="22"/>
          <w:lang w:eastAsia="hu-HU" w:bidi="ar-SA"/>
        </w:rPr>
        <w:t>bentlakásos, ápolást-gondozást nyújtó idősek otthona)</w:t>
      </w:r>
    </w:p>
    <w:p w:rsidR="00745BE9" w:rsidRPr="001377C6" w:rsidRDefault="00745BE9" w:rsidP="00745BE9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hu-HU" w:bidi="ar-SA"/>
        </w:rPr>
      </w:pPr>
    </w:p>
    <w:p w:rsidR="00745BE9" w:rsidRDefault="00745BE9" w:rsidP="00745BE9">
      <w:pPr>
        <w:pStyle w:val="NormlWeb"/>
        <w:spacing w:before="0" w:after="0"/>
        <w:jc w:val="both"/>
        <w:rPr>
          <w:rFonts w:cs="Times New Roman"/>
        </w:rPr>
      </w:pPr>
    </w:p>
    <w:p w:rsidR="00745BE9" w:rsidRDefault="00745BE9" w:rsidP="00745BE9">
      <w:pPr>
        <w:pStyle w:val="NormlWeb"/>
        <w:spacing w:before="0" w:after="0"/>
        <w:jc w:val="both"/>
        <w:rPr>
          <w:rFonts w:cs="Times New Roman"/>
        </w:rPr>
      </w:pPr>
    </w:p>
    <w:p w:rsidR="00745BE9" w:rsidRPr="00716863" w:rsidRDefault="00745BE9" w:rsidP="00745BE9">
      <w:pPr>
        <w:pStyle w:val="NormlWeb"/>
        <w:spacing w:before="0" w:after="0"/>
        <w:jc w:val="both"/>
        <w:rPr>
          <w:rFonts w:cs="Times New Roman"/>
          <w:b/>
        </w:rPr>
      </w:pPr>
    </w:p>
    <w:p w:rsidR="00745BE9" w:rsidRDefault="00745BE9" w:rsidP="00745BE9">
      <w:pPr>
        <w:jc w:val="center"/>
        <w:rPr>
          <w:rFonts w:ascii="Arial" w:hAnsi="Arial" w:cs="Arial"/>
          <w:b/>
          <w:color w:val="000000"/>
        </w:rPr>
      </w:pPr>
    </w:p>
    <w:p w:rsidR="00745BE9" w:rsidRDefault="00745BE9" w:rsidP="00745BE9">
      <w:pPr>
        <w:jc w:val="center"/>
        <w:rPr>
          <w:rFonts w:ascii="Arial" w:hAnsi="Arial" w:cs="Arial"/>
          <w:b/>
          <w:color w:val="000000"/>
        </w:rPr>
      </w:pPr>
    </w:p>
    <w:p w:rsidR="00745BE9" w:rsidRDefault="00745BE9" w:rsidP="00745BE9">
      <w:pPr>
        <w:jc w:val="center"/>
        <w:rPr>
          <w:rFonts w:ascii="Arial" w:hAnsi="Arial" w:cs="Arial"/>
          <w:b/>
          <w:color w:val="000000"/>
        </w:rPr>
      </w:pPr>
    </w:p>
    <w:p w:rsidR="00054BE4" w:rsidRDefault="00054BE4"/>
    <w:sectPr w:rsidR="00054BE4" w:rsidSect="0005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92F" w:rsidRDefault="00E5592F" w:rsidP="00745BE9">
      <w:r>
        <w:separator/>
      </w:r>
    </w:p>
  </w:endnote>
  <w:endnote w:type="continuationSeparator" w:id="1">
    <w:p w:rsidR="00E5592F" w:rsidRDefault="00E5592F" w:rsidP="00745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92F" w:rsidRDefault="00E5592F" w:rsidP="00745BE9">
      <w:r>
        <w:separator/>
      </w:r>
    </w:p>
  </w:footnote>
  <w:footnote w:type="continuationSeparator" w:id="1">
    <w:p w:rsidR="00E5592F" w:rsidRDefault="00E5592F" w:rsidP="00745BE9">
      <w:r>
        <w:continuationSeparator/>
      </w:r>
    </w:p>
  </w:footnote>
  <w:footnote w:id="2">
    <w:p w:rsidR="00745BE9" w:rsidRDefault="00745BE9" w:rsidP="00745BE9">
      <w:pPr>
        <w:pStyle w:val="Lbjegyzetszveg"/>
      </w:pPr>
      <w:r>
        <w:rPr>
          <w:rStyle w:val="Lbjegyzet-hivatkozs"/>
        </w:rPr>
        <w:footnoteRef/>
      </w:r>
      <w:r>
        <w:t xml:space="preserve"> 37/2015.(XII.10.) önkormányzati rendelet 3. §-a iktatta be. Hatályos 2015. december 25-től.</w:t>
      </w:r>
    </w:p>
  </w:footnote>
  <w:footnote w:id="3">
    <w:p w:rsidR="00745BE9" w:rsidRDefault="00745BE9" w:rsidP="00745BE9">
      <w:pPr>
        <w:pStyle w:val="Lbjegyzetszveg"/>
      </w:pPr>
      <w:r>
        <w:rPr>
          <w:rStyle w:val="Lbjegyzet-hivatkozs"/>
        </w:rPr>
        <w:footnoteRef/>
      </w:r>
      <w:r>
        <w:t xml:space="preserve"> 24/2016.(VI.15) önkormányzati  rendelet 4.§-a módosította. Hatályos 2016. június 24-től.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BE9"/>
    <w:rsid w:val="00054BE4"/>
    <w:rsid w:val="005258CD"/>
    <w:rsid w:val="00745BE9"/>
    <w:rsid w:val="00E5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BE9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45BE9"/>
    <w:pPr>
      <w:spacing w:before="280" w:after="280"/>
    </w:pPr>
    <w:rPr>
      <w:color w:val="000000"/>
    </w:rPr>
  </w:style>
  <w:style w:type="paragraph" w:styleId="Lbjegyzetszveg">
    <w:name w:val="footnote text"/>
    <w:basedOn w:val="Norml"/>
    <w:link w:val="LbjegyzetszvegChar"/>
    <w:uiPriority w:val="99"/>
    <w:unhideWhenUsed/>
    <w:rsid w:val="00745BE9"/>
    <w:rPr>
      <w:sz w:val="20"/>
      <w:szCs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45BE9"/>
    <w:rPr>
      <w:rFonts w:ascii="Times New Roman" w:eastAsia="Arial Unicode MS" w:hAnsi="Times New Roman" w:cs="Mangal"/>
      <w:kern w:val="1"/>
      <w:sz w:val="20"/>
      <w:szCs w:val="18"/>
      <w:lang w:eastAsia="zh-CN" w:bidi="hi-IN"/>
    </w:rPr>
  </w:style>
  <w:style w:type="character" w:styleId="Lbjegyzet-hivatkozs">
    <w:name w:val="footnote reference"/>
    <w:basedOn w:val="Bekezdsalapbettpusa"/>
    <w:semiHidden/>
    <w:unhideWhenUsed/>
    <w:rsid w:val="00745B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2016-06-28T13:19:00Z</dcterms:created>
  <dcterms:modified xsi:type="dcterms:W3CDTF">2016-06-28T13:20:00Z</dcterms:modified>
</cp:coreProperties>
</file>