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0D" w:rsidRDefault="00AF650D" w:rsidP="00AF650D">
      <w:pPr>
        <w:tabs>
          <w:tab w:val="center" w:pos="4536"/>
        </w:tabs>
        <w:ind w:left="-142"/>
        <w:jc w:val="right"/>
        <w:rPr>
          <w:i/>
        </w:rPr>
      </w:pPr>
      <w:r>
        <w:rPr>
          <w:i/>
        </w:rPr>
        <w:t>1. melléklet Újbarok Községi Önkormányzat Képviselő-testületének a talajterhelési díjról szóló</w:t>
      </w:r>
    </w:p>
    <w:p w:rsidR="00AF650D" w:rsidRDefault="00AF650D" w:rsidP="00AF650D">
      <w:pPr>
        <w:tabs>
          <w:tab w:val="center" w:pos="4536"/>
        </w:tabs>
        <w:ind w:left="705" w:hanging="705"/>
        <w:jc w:val="right"/>
        <w:rPr>
          <w:i/>
        </w:rPr>
      </w:pPr>
      <w:r>
        <w:rPr>
          <w:i/>
        </w:rPr>
        <w:t xml:space="preserve"> 21/2015. (XI. 30.) önkormányzati rendeletéhez</w:t>
      </w:r>
    </w:p>
    <w:p w:rsidR="00AF650D" w:rsidRDefault="00AF650D" w:rsidP="00AF650D">
      <w:pPr>
        <w:tabs>
          <w:tab w:val="center" w:pos="4536"/>
        </w:tabs>
        <w:ind w:left="705" w:hanging="705"/>
        <w:jc w:val="both"/>
      </w:pPr>
    </w:p>
    <w:p w:rsidR="00AF650D" w:rsidRDefault="00AF650D" w:rsidP="00AF650D">
      <w:pPr>
        <w:tabs>
          <w:tab w:val="center" w:pos="4536"/>
        </w:tabs>
        <w:ind w:left="705" w:hanging="705"/>
        <w:jc w:val="both"/>
      </w:pPr>
    </w:p>
    <w:p w:rsidR="00AF650D" w:rsidRDefault="00AF650D" w:rsidP="00AF650D">
      <w:pPr>
        <w:spacing w:line="276" w:lineRule="auto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A talajterhelési díj mértéke</w:t>
      </w:r>
    </w:p>
    <w:p w:rsidR="00AF650D" w:rsidRDefault="00AF650D" w:rsidP="00AF650D">
      <w:pPr>
        <w:spacing w:line="276" w:lineRule="auto"/>
        <w:jc w:val="both"/>
        <w:rPr>
          <w:rFonts w:eastAsia="Arial"/>
          <w:color w:val="000000"/>
        </w:rPr>
      </w:pP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1.</w:t>
      </w:r>
      <w:r>
        <w:rPr>
          <w:rFonts w:eastAsia="Arial"/>
          <w:color w:val="000000"/>
          <w:u w:val="single"/>
        </w:rPr>
        <w:t xml:space="preserve"> </w:t>
      </w:r>
      <w:r>
        <w:rPr>
          <w:rFonts w:eastAsia="Arial"/>
          <w:b/>
          <w:color w:val="000000"/>
          <w:u w:val="single"/>
        </w:rPr>
        <w:t>A talajterhelési díj alapja</w:t>
      </w:r>
      <w:r>
        <w:rPr>
          <w:rFonts w:eastAsia="Arial"/>
          <w:b/>
          <w:color w:val="000000"/>
        </w:rPr>
        <w:t>:</w:t>
      </w:r>
      <w:r>
        <w:rPr>
          <w:rFonts w:eastAsia="Arial"/>
          <w:color w:val="000000"/>
        </w:rPr>
        <w:t xml:space="preserve"> a szolgáltatott vagy egyedi vízbeszerzés esetében a méréssel igazolt felhasznált, vagy mérési lehetőség hiányában az átalány alapján meghatározott víz mennyisége, csökkentve a </w:t>
      </w:r>
      <w:proofErr w:type="spellStart"/>
      <w:r>
        <w:rPr>
          <w:rFonts w:eastAsia="Arial"/>
          <w:color w:val="000000"/>
        </w:rPr>
        <w:t>Fejérvíz</w:t>
      </w:r>
      <w:proofErr w:type="spellEnd"/>
      <w:r>
        <w:rPr>
          <w:rFonts w:eastAsia="Arial"/>
          <w:color w:val="000000"/>
        </w:rPr>
        <w:t xml:space="preserve"> Zrt. által alkalmazott 10%-os átalánydíjas locsolási kedvezmény mértékével. </w:t>
      </w:r>
    </w:p>
    <w:p w:rsidR="00AF650D" w:rsidRDefault="00AF650D" w:rsidP="00AF650D">
      <w:pPr>
        <w:jc w:val="both"/>
        <w:rPr>
          <w:rFonts w:eastAsia="Arial"/>
          <w:color w:val="000000"/>
        </w:rPr>
      </w:pP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A talajterhelési díj alapja csökkenthető azzal a számlákkal igazolt mennyiséggel, amelyet a kibocsátó szennyvíztárolójából, olyan arra feljogosított szervezettel szállíttat el, amely a folyékony hulladék jogszabályi előírások szerinti elhelyezését igazolja.</w:t>
      </w:r>
    </w:p>
    <w:p w:rsidR="00AF650D" w:rsidRDefault="00AF650D" w:rsidP="00AF650D">
      <w:pPr>
        <w:jc w:val="both"/>
        <w:rPr>
          <w:rFonts w:eastAsia="Arial"/>
          <w:color w:val="000000"/>
          <w:u w:val="single"/>
        </w:rPr>
      </w:pP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Amennyiben a közcsatornát év közben helyezik üzembe, a díjfizetési kötelezettség a kibocsátót a közcsatorna üzembe helyezését követő 90. naptól terheli.</w:t>
      </w:r>
    </w:p>
    <w:p w:rsidR="00AF650D" w:rsidRDefault="00AF650D" w:rsidP="00AF650D">
      <w:pPr>
        <w:rPr>
          <w:rFonts w:eastAsia="Arial"/>
          <w:color w:val="000000"/>
        </w:rPr>
      </w:pPr>
    </w:p>
    <w:p w:rsidR="00AF650D" w:rsidRDefault="00AF650D" w:rsidP="00AF650D">
      <w:pPr>
        <w:jc w:val="both"/>
        <w:rPr>
          <w:rFonts w:eastAsia="Arial"/>
          <w:color w:val="000000"/>
          <w:u w:val="single"/>
        </w:rPr>
      </w:pPr>
      <w:proofErr w:type="gramStart"/>
      <w:r>
        <w:rPr>
          <w:rFonts w:eastAsia="Arial"/>
          <w:color w:val="000000"/>
        </w:rPr>
        <w:t xml:space="preserve">Nem terheli díjfizetési kötelezettség azt a kibocsátót, aki külön jogszabályok szerint egyedi </w:t>
      </w:r>
      <w:proofErr w:type="spellStart"/>
      <w:r>
        <w:rPr>
          <w:rFonts w:eastAsia="Arial"/>
          <w:color w:val="000000"/>
        </w:rPr>
        <w:t>szennyvízelhelyezési</w:t>
      </w:r>
      <w:proofErr w:type="spellEnd"/>
      <w:r>
        <w:rPr>
          <w:rFonts w:eastAsia="Arial"/>
          <w:color w:val="000000"/>
        </w:rPr>
        <w:t xml:space="preserve"> kislétesítményt, illetve egyedi szennyvíztisztító kisberendezést alkalmaz, és a kibocsátás közvetlen környezetében a kibocsátó által létesített megfigyelő objektumban a talajjal kapcsolatban lévő felszín alatti vízben a kibocsátó által évente vizsgált nitrát-, ammónium-, szulfát-, </w:t>
      </w:r>
      <w:proofErr w:type="spellStart"/>
      <w:r>
        <w:rPr>
          <w:rFonts w:eastAsia="Arial"/>
          <w:color w:val="000000"/>
        </w:rPr>
        <w:t>kloridtartalom</w:t>
      </w:r>
      <w:proofErr w:type="spellEnd"/>
      <w:r>
        <w:rPr>
          <w:rFonts w:eastAsia="Arial"/>
          <w:color w:val="000000"/>
        </w:rPr>
        <w:t xml:space="preserve"> egyik komponens tekintetében sem haladja meg 20%-kal a 2005. évben, illetve a közcsatorna üzembe helyezését követő hónapban végzett alapállapot-felmérés keretében mért értékeket.</w:t>
      </w:r>
      <w:proofErr w:type="gramEnd"/>
    </w:p>
    <w:p w:rsidR="00AF650D" w:rsidRDefault="00AF650D" w:rsidP="00AF650D">
      <w:pPr>
        <w:jc w:val="both"/>
        <w:rPr>
          <w:rFonts w:eastAsia="Arial"/>
          <w:color w:val="000000"/>
          <w:u w:val="single"/>
        </w:rPr>
      </w:pPr>
    </w:p>
    <w:p w:rsidR="00AF650D" w:rsidRDefault="00AF650D" w:rsidP="00AF650D">
      <w:pPr>
        <w:jc w:val="both"/>
        <w:rPr>
          <w:rFonts w:eastAsia="Arial"/>
          <w:color w:val="000000"/>
          <w:vertAlign w:val="superscript"/>
        </w:rPr>
      </w:pPr>
      <w:r>
        <w:rPr>
          <w:rFonts w:eastAsia="Arial"/>
          <w:b/>
          <w:color w:val="000000"/>
        </w:rPr>
        <w:t>2.</w:t>
      </w:r>
      <w:r>
        <w:rPr>
          <w:rFonts w:eastAsia="Arial"/>
          <w:b/>
          <w:color w:val="000000"/>
          <w:u w:val="single"/>
        </w:rPr>
        <w:t xml:space="preserve"> A talajterhelési díj egységdíja</w:t>
      </w:r>
      <w:r>
        <w:rPr>
          <w:rFonts w:eastAsia="Arial"/>
          <w:b/>
          <w:color w:val="000000"/>
        </w:rPr>
        <w:t>:</w:t>
      </w:r>
      <w:r>
        <w:rPr>
          <w:rFonts w:eastAsia="Arial"/>
          <w:color w:val="000000"/>
        </w:rPr>
        <w:t xml:space="preserve"> 1.200,- Ft/m</w:t>
      </w:r>
      <w:r>
        <w:rPr>
          <w:rFonts w:eastAsia="Arial"/>
          <w:color w:val="000000"/>
          <w:vertAlign w:val="superscript"/>
        </w:rPr>
        <w:t>3</w:t>
      </w:r>
    </w:p>
    <w:p w:rsidR="00AF650D" w:rsidRDefault="00AF650D" w:rsidP="00AF650D">
      <w:pPr>
        <w:jc w:val="both"/>
        <w:rPr>
          <w:rFonts w:eastAsia="Arial"/>
          <w:color w:val="000000"/>
          <w:vertAlign w:val="superscript"/>
        </w:rPr>
      </w:pPr>
    </w:p>
    <w:p w:rsidR="00AF650D" w:rsidRDefault="00AF650D" w:rsidP="00AF650D">
      <w:pPr>
        <w:jc w:val="both"/>
        <w:rPr>
          <w:rFonts w:eastAsia="Arial"/>
          <w:b/>
          <w:color w:val="000000"/>
          <w:u w:val="single"/>
        </w:rPr>
      </w:pPr>
      <w:r>
        <w:rPr>
          <w:rFonts w:eastAsia="Arial"/>
          <w:b/>
          <w:color w:val="000000"/>
        </w:rPr>
        <w:t>3.</w:t>
      </w:r>
      <w:r>
        <w:rPr>
          <w:rFonts w:eastAsia="Arial"/>
          <w:b/>
          <w:color w:val="000000"/>
          <w:u w:val="single"/>
        </w:rPr>
        <w:t xml:space="preserve"> A területérzékenységi szorzó:</w:t>
      </w: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Szár község közigazgatási területe a 27/2004. (XII. 25.) </w:t>
      </w:r>
      <w:proofErr w:type="spellStart"/>
      <w:r>
        <w:rPr>
          <w:rFonts w:eastAsia="Arial"/>
          <w:color w:val="000000"/>
        </w:rPr>
        <w:t>KvVM</w:t>
      </w:r>
      <w:proofErr w:type="spellEnd"/>
      <w:r>
        <w:rPr>
          <w:rFonts w:eastAsia="Arial"/>
          <w:color w:val="000000"/>
        </w:rPr>
        <w:t xml:space="preserve"> rendelet melléklete alapján fokozottan érzékeny terület, ezért a környezetterhelési díjról szóló 2003. évi LXXXIX. törvény 3. sz. mellékletében foglaltak alapján a felszín alatti víz állapota szempontjából megállapított területérzékenységi szorzó mértéke: 3,0.</w:t>
      </w:r>
    </w:p>
    <w:p w:rsidR="00AF650D" w:rsidRDefault="00AF650D" w:rsidP="00AF650D">
      <w:pPr>
        <w:jc w:val="both"/>
        <w:rPr>
          <w:rFonts w:eastAsia="Arial"/>
          <w:color w:val="000000"/>
        </w:rPr>
      </w:pP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 talajterhelési díj (TTD) </w:t>
      </w:r>
      <w:r>
        <w:rPr>
          <w:rFonts w:eastAsia="Arial"/>
          <w:color w:val="000000"/>
          <w:u w:val="single"/>
        </w:rPr>
        <w:t>mértékét</w:t>
      </w:r>
      <w:r>
        <w:rPr>
          <w:rFonts w:eastAsia="Arial"/>
          <w:color w:val="000000"/>
        </w:rPr>
        <w:t xml:space="preserve"> a talajterhelési díj alapja (A), az egységdíj (E), valamint a település közigazgatási területére vonatkozó területérzékenységi szorzó (T) határozza meg.</w:t>
      </w:r>
    </w:p>
    <w:p w:rsidR="00AF650D" w:rsidRDefault="00AF650D" w:rsidP="00AF650D">
      <w:pPr>
        <w:jc w:val="both"/>
        <w:rPr>
          <w:rFonts w:eastAsia="Arial"/>
          <w:color w:val="000000"/>
        </w:rPr>
      </w:pP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4.</w:t>
      </w:r>
      <w:r>
        <w:rPr>
          <w:rFonts w:eastAsia="Arial"/>
          <w:color w:val="000000"/>
        </w:rPr>
        <w:t xml:space="preserve"> </w:t>
      </w:r>
      <w:r>
        <w:rPr>
          <w:rFonts w:eastAsia="Arial"/>
          <w:b/>
          <w:color w:val="000000"/>
        </w:rPr>
        <w:t>A talajterhelési díj mértékének kiszámítása:</w:t>
      </w:r>
    </w:p>
    <w:p w:rsidR="00AF650D" w:rsidRDefault="00AF650D" w:rsidP="00AF650D">
      <w:pPr>
        <w:rPr>
          <w:rFonts w:eastAsia="Arial"/>
          <w:color w:val="000000"/>
        </w:rPr>
      </w:pPr>
    </w:p>
    <w:p w:rsidR="00AF650D" w:rsidRDefault="00AF650D" w:rsidP="00AF650D">
      <w:pPr>
        <w:jc w:val="center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 xml:space="preserve">TTD = E x </w:t>
      </w:r>
      <w:proofErr w:type="gramStart"/>
      <w:r>
        <w:rPr>
          <w:rFonts w:eastAsia="Arial"/>
          <w:b/>
          <w:color w:val="000000"/>
        </w:rPr>
        <w:t>A</w:t>
      </w:r>
      <w:proofErr w:type="gramEnd"/>
      <w:r>
        <w:rPr>
          <w:rFonts w:eastAsia="Arial"/>
          <w:b/>
          <w:color w:val="000000"/>
        </w:rPr>
        <w:t xml:space="preserve"> x T</w:t>
      </w:r>
    </w:p>
    <w:p w:rsidR="00AF650D" w:rsidRDefault="00AF650D" w:rsidP="00AF650D">
      <w:pPr>
        <w:jc w:val="both"/>
        <w:rPr>
          <w:rFonts w:eastAsia="Arial"/>
          <w:color w:val="000000"/>
        </w:rPr>
      </w:pPr>
      <w:proofErr w:type="gramStart"/>
      <w:r>
        <w:rPr>
          <w:rFonts w:eastAsia="Arial"/>
          <w:color w:val="000000"/>
        </w:rPr>
        <w:t>ahol</w:t>
      </w:r>
      <w:proofErr w:type="gramEnd"/>
      <w:r>
        <w:rPr>
          <w:rFonts w:eastAsia="Arial"/>
          <w:color w:val="000000"/>
        </w:rPr>
        <w:t>:</w:t>
      </w: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TTD</w:t>
      </w:r>
      <w:r>
        <w:rPr>
          <w:rFonts w:eastAsia="Arial"/>
          <w:color w:val="000000"/>
        </w:rPr>
        <w:t>: a fizetendő éves talajterhelési díj (Ft),</w:t>
      </w: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E</w:t>
      </w:r>
      <w:r>
        <w:rPr>
          <w:rFonts w:eastAsia="Arial"/>
          <w:color w:val="000000"/>
        </w:rPr>
        <w:t>: egységdíj (Ft/m</w:t>
      </w:r>
      <w:r>
        <w:rPr>
          <w:rFonts w:eastAsia="Arial"/>
          <w:color w:val="000000"/>
          <w:vertAlign w:val="superscript"/>
        </w:rPr>
        <w:t>3</w:t>
      </w:r>
      <w:r>
        <w:rPr>
          <w:rFonts w:eastAsia="Arial"/>
          <w:color w:val="000000"/>
        </w:rPr>
        <w:t>)</w:t>
      </w: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A:</w:t>
      </w:r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a</w:t>
      </w:r>
      <w:proofErr w:type="spellEnd"/>
      <w:r>
        <w:rPr>
          <w:rFonts w:eastAsia="Arial"/>
          <w:color w:val="000000"/>
        </w:rPr>
        <w:t xml:space="preserve"> díjfizetési alap (m</w:t>
      </w:r>
      <w:r>
        <w:rPr>
          <w:rFonts w:eastAsia="Arial"/>
          <w:color w:val="000000"/>
          <w:vertAlign w:val="superscript"/>
        </w:rPr>
        <w:t>3</w:t>
      </w:r>
      <w:r>
        <w:rPr>
          <w:rFonts w:eastAsia="Arial"/>
          <w:color w:val="000000"/>
        </w:rPr>
        <w:t>)</w:t>
      </w:r>
    </w:p>
    <w:p w:rsidR="00AF650D" w:rsidRDefault="00AF650D" w:rsidP="00AF650D">
      <w:pPr>
        <w:jc w:val="both"/>
        <w:rPr>
          <w:rFonts w:eastAsia="Arial"/>
          <w:color w:val="000000"/>
        </w:rPr>
      </w:pPr>
      <w:r>
        <w:rPr>
          <w:rFonts w:eastAsia="Arial"/>
          <w:b/>
          <w:color w:val="000000"/>
        </w:rPr>
        <w:t>T:</w:t>
      </w:r>
      <w:r>
        <w:rPr>
          <w:rFonts w:eastAsia="Arial"/>
          <w:color w:val="000000"/>
        </w:rPr>
        <w:t xml:space="preserve"> a település közigazgatási területére vonatkozó, a felszín alatti víz állapota szempontjából megállapított területérzékenységi szorzó</w:t>
      </w:r>
    </w:p>
    <w:p w:rsidR="00AF650D" w:rsidRDefault="00AF650D" w:rsidP="00AF650D">
      <w:pPr>
        <w:jc w:val="both"/>
        <w:rPr>
          <w:rFonts w:eastAsia="Arial"/>
          <w:color w:val="000000"/>
        </w:rPr>
      </w:pPr>
    </w:p>
    <w:p w:rsidR="00AF650D" w:rsidRDefault="00AF650D" w:rsidP="00AF650D">
      <w:pPr>
        <w:tabs>
          <w:tab w:val="center" w:pos="4536"/>
        </w:tabs>
        <w:ind w:left="705" w:hanging="705"/>
        <w:jc w:val="both"/>
      </w:pPr>
    </w:p>
    <w:p w:rsidR="00AF650D" w:rsidRDefault="00AF650D" w:rsidP="00AF650D">
      <w:pPr>
        <w:tabs>
          <w:tab w:val="center" w:pos="4536"/>
        </w:tabs>
        <w:ind w:left="705" w:hanging="705"/>
        <w:jc w:val="both"/>
      </w:pPr>
    </w:p>
    <w:p w:rsidR="00506BDB" w:rsidRDefault="00506BDB">
      <w:bookmarkStart w:id="0" w:name="_GoBack"/>
      <w:bookmarkEnd w:id="0"/>
    </w:p>
    <w:sectPr w:rsidR="005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0D"/>
    <w:rsid w:val="00506BDB"/>
    <w:rsid w:val="00A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2015-11-30T14:41:00Z</dcterms:created>
  <dcterms:modified xsi:type="dcterms:W3CDTF">2015-11-30T14:41:00Z</dcterms:modified>
</cp:coreProperties>
</file>