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BA" w:rsidRDefault="00734BBA" w:rsidP="00734BBA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Indokolás</w:t>
      </w:r>
    </w:p>
    <w:p w:rsidR="00734BBA" w:rsidRDefault="00734BBA" w:rsidP="00734BBA">
      <w:pPr>
        <w:jc w:val="center"/>
        <w:rPr>
          <w:bCs/>
          <w:color w:val="000000"/>
          <w:szCs w:val="24"/>
        </w:rPr>
      </w:pPr>
    </w:p>
    <w:p w:rsidR="00734BBA" w:rsidRDefault="00734BBA" w:rsidP="00734BBA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1. §</w:t>
      </w:r>
      <w:proofErr w:type="spellStart"/>
      <w:r>
        <w:rPr>
          <w:bCs/>
          <w:color w:val="000000"/>
          <w:szCs w:val="24"/>
        </w:rPr>
        <w:t>-hoz</w:t>
      </w:r>
      <w:proofErr w:type="spellEnd"/>
    </w:p>
    <w:p w:rsidR="00734BBA" w:rsidRDefault="00734BBA" w:rsidP="00734BBA">
      <w:pPr>
        <w:pStyle w:val="Listaszerbekezds1"/>
        <w:tabs>
          <w:tab w:val="left" w:pos="0"/>
        </w:tabs>
        <w:spacing w:after="0"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Előkészítés alatt lévő beruházás kapcsán kezdeményezte az önkormányzat a településrendezési eszközök módosítását. Az Eötvös utca déli oldalán, a Mártírok és Ady Endre utca közötti szakaszon a helyi védett egykori óvoda épületének kivételével a meglévő épületeket elbontották. A 3188 és a 3192/1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telkek magántulajdonban, a 3192/2 és a 3193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telkek önkormányzati tulajdonban vannak. Telekalakítást követően a területet az önkormányzat beruházók felé kívánja értékesíteni. A beruházási szándék olyan fejlesztések elősegítése, mely a városközpont területén a fejlesztések rendeltetéséhez szükséges mennyiséget meghaladó gépkocsi elhelyezését biztosítja. A tervezett fejlesztés során kereskedelmi-, iroda-, és lakó funkció elhelyezésére van igény. A fejlesztési terület a városközpont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szlömös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foghíjterülete, melynek fejlesztési lehetőségeit az önkormányzat a beruházás számára a megengedhető legkedvezőbb mértékben kívánja meghatározni, elősegítve annak megvalósulását,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szlömös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foghíjterület beépítését. A fejlesztési terület négy telek több ütemben megvalósuló telekhatár rendezése során jönne létre.</w:t>
      </w:r>
    </w:p>
    <w:p w:rsidR="00734BBA" w:rsidRDefault="00734BBA" w:rsidP="00734BBA">
      <w:pPr>
        <w:jc w:val="center"/>
        <w:rPr>
          <w:bCs/>
          <w:color w:val="000000"/>
          <w:szCs w:val="24"/>
        </w:rPr>
      </w:pP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 xml:space="preserve">A tervezett fejlesztést lehetővé tevő övezeti szabályozás a hátsókertre vonatkozó szabályok kivételével 2020. júniusában jóváhagyásra került. Jelen szabályozás módosítás csak a hátsókertre vonatkozóan módosítja a helyi építési szabályzatot. </w:t>
      </w: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 xml:space="preserve">A tervezett beépítés a közbenső telek déli részén a teremgarázsok elhelyezése érdekében pinceszinten és földszinten a telek teljes szélességének beépítésével számol. A tervezett építés megvalósíthatósága érdekében szükséges a 3193 </w:t>
      </w:r>
      <w:proofErr w:type="spellStart"/>
      <w:r>
        <w:rPr>
          <w:szCs w:val="24"/>
        </w:rPr>
        <w:t>hrsz-ú</w:t>
      </w:r>
      <w:proofErr w:type="spellEnd"/>
      <w:r>
        <w:rPr>
          <w:szCs w:val="24"/>
        </w:rPr>
        <w:t xml:space="preserve"> telek nyugati telekhatára mentén építési helyet kijelölni, ugyanis az az Ady utcai közlekedési területi kapcsolat révén építéshatósággal egyeztetve hátsókertnek minősül, mely hátsókert mértékét a Vt-6 jelű övezet szabályozása 6 méterben állapítja meg. Szükséges tehát a 3193 </w:t>
      </w:r>
      <w:proofErr w:type="spellStart"/>
      <w:r>
        <w:rPr>
          <w:szCs w:val="24"/>
        </w:rPr>
        <w:t>hrsz-ú</w:t>
      </w:r>
      <w:proofErr w:type="spellEnd"/>
      <w:r>
        <w:rPr>
          <w:szCs w:val="24"/>
        </w:rPr>
        <w:t xml:space="preserve"> telek esetében a hátsókert mértékét 0 méterben szabályozni.</w:t>
      </w:r>
    </w:p>
    <w:p w:rsidR="00734BBA" w:rsidRDefault="00734BBA" w:rsidP="00734BBA">
      <w:pPr>
        <w:jc w:val="center"/>
        <w:rPr>
          <w:bCs/>
          <w:color w:val="000000"/>
          <w:szCs w:val="24"/>
          <w:highlight w:val="yellow"/>
        </w:rPr>
      </w:pPr>
    </w:p>
    <w:p w:rsidR="00734BBA" w:rsidRDefault="00734BBA" w:rsidP="00734BBA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2. §</w:t>
      </w:r>
      <w:proofErr w:type="spellStart"/>
      <w:r>
        <w:rPr>
          <w:bCs/>
          <w:color w:val="000000"/>
          <w:szCs w:val="24"/>
        </w:rPr>
        <w:t>-hoz</w:t>
      </w:r>
      <w:proofErr w:type="spellEnd"/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 xml:space="preserve">A színház tervezett bővítéséhez, átépítéséhez kapcsolódó fejlesztési tervben több olyan elképzelés, javaslat szerepel, melyhez kapcsolódóan szükséges a szabályozási terv módosítása. A javaslatok az önkormányzati, szervezeti és magántulajdonosi érdekek érvényesülését szem előtt tartva, a felek kölcsönös megállapodása alapján fogalmazódtak meg. </w:t>
      </w: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>A tervek alapján növelni szükséges a területre vonatkozó megengedett legnagyobb beépíthetőség mértékét. Az új épületrészek, illetve az udvar beépítése miatt nem fér bele a beépítettség az övezetre meghatározott 60%-os megengedett legnagyobb beépítettségbe. A fejlesztési tervek alapján 85%-os beépítettség szükséges.</w:t>
      </w: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>A fejlesztési tervek alapján a tervező a meghatározott megengedett legkisebb zöldfelület mértékek nem tudja biztosítani. Ennek oka, hogy a mélygarázson, illetve a zöldtetőn elhelyezkedő felületek nem számítanak teljes értékűnek az OTÉK alapján, így azok nem elegendőek a szabályozásnak való megfeleléshez. A fejlesztési tervek alapján a megengedett legkisebb zöldfelületet – OTÉK alóli felmentés igénylésével – 5%-ban szükséges meghatározni.</w:t>
      </w: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>A hatályos terv szerinti Vi-5 jelű övezetben az épületmagasságra 16,0 méter, míg a homlokzatmagasság 17,5 méterben került meghatározásra. Az épületmagasságra vonatkozó előírásoknak a terv meg tud felelni, azonban a homlokzatmagasság az északi (18,11 m) és a keleti homlokzaton (18,71 m) is meghaladja az előírt értéket a zsinórpadlás miatt.</w:t>
      </w: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 xml:space="preserve">A beépítési magasságok meghatározása során - a kölcsönös megállapodás alapján - a tervező olyan szabályozás létrehozását javasolta, mely a tömb területének egyes részein egyedi korlátozásokat ír elő. Ezek a telekrészek a tömbbelső udvara (2. zóna), illetve a szakszervezeti </w:t>
      </w:r>
      <w:r>
        <w:rPr>
          <w:szCs w:val="24"/>
        </w:rPr>
        <w:lastRenderedPageBreak/>
        <w:t xml:space="preserve">székház telkének nyugati része (1. zóna), ahol a következőképen került meghatározásra a magassági korlát: </w:t>
      </w:r>
    </w:p>
    <w:p w:rsidR="00734BBA" w:rsidRDefault="00734BBA" w:rsidP="00734BBA">
      <w:pPr>
        <w:numPr>
          <w:ilvl w:val="0"/>
          <w:numId w:val="1"/>
        </w:numPr>
        <w:suppressAutoHyphens w:val="0"/>
        <w:jc w:val="both"/>
        <w:rPr>
          <w:szCs w:val="24"/>
        </w:rPr>
      </w:pPr>
      <w:r>
        <w:rPr>
          <w:szCs w:val="24"/>
        </w:rPr>
        <w:t xml:space="preserve">zóna: elhelyezett építmény megengedett legnagyobb magassága 156,80 </w:t>
      </w:r>
      <w:proofErr w:type="spellStart"/>
      <w:r>
        <w:rPr>
          <w:szCs w:val="24"/>
        </w:rPr>
        <w:t>mBf</w:t>
      </w:r>
      <w:proofErr w:type="spellEnd"/>
    </w:p>
    <w:p w:rsidR="00734BBA" w:rsidRDefault="00734BBA" w:rsidP="00734BBA">
      <w:pPr>
        <w:numPr>
          <w:ilvl w:val="0"/>
          <w:numId w:val="1"/>
        </w:numPr>
        <w:suppressAutoHyphens w:val="0"/>
        <w:jc w:val="both"/>
        <w:rPr>
          <w:szCs w:val="24"/>
        </w:rPr>
      </w:pPr>
      <w:r>
        <w:rPr>
          <w:szCs w:val="24"/>
        </w:rPr>
        <w:t xml:space="preserve"> elhelyezett építmény megengedett legnagyobb magassága 157,20 </w:t>
      </w:r>
      <w:proofErr w:type="spellStart"/>
      <w:r>
        <w:rPr>
          <w:szCs w:val="24"/>
        </w:rPr>
        <w:t>mBf</w:t>
      </w:r>
      <w:proofErr w:type="spellEnd"/>
    </w:p>
    <w:p w:rsidR="00734BBA" w:rsidRDefault="00734BBA" w:rsidP="00734BBA">
      <w:pPr>
        <w:jc w:val="both"/>
        <w:rPr>
          <w:bCs/>
          <w:color w:val="000000"/>
          <w:szCs w:val="24"/>
          <w:highlight w:val="yellow"/>
        </w:rPr>
      </w:pPr>
      <w:r>
        <w:rPr>
          <w:szCs w:val="24"/>
        </w:rPr>
        <w:t>A módosítás során a színház fejlesztésének megvalósítása érdekében szükségszerű a tervekben javasolt értékek helyi építési szabályzatba való átvezetése. A színház területét egy új intézményi vegyes övezetbe kell sorolni, mely a Vi-10 jelű övezet lesz.</w:t>
      </w:r>
    </w:p>
    <w:p w:rsidR="00734BBA" w:rsidRDefault="00734BBA" w:rsidP="00734BBA">
      <w:pPr>
        <w:jc w:val="center"/>
        <w:rPr>
          <w:bCs/>
          <w:color w:val="000000"/>
          <w:szCs w:val="24"/>
          <w:highlight w:val="yellow"/>
        </w:rPr>
      </w:pPr>
    </w:p>
    <w:p w:rsidR="00734BBA" w:rsidRDefault="00734BBA" w:rsidP="00734BBA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3. §</w:t>
      </w:r>
      <w:proofErr w:type="spellStart"/>
      <w:r>
        <w:rPr>
          <w:bCs/>
          <w:color w:val="000000"/>
          <w:szCs w:val="24"/>
        </w:rPr>
        <w:t>-hoz</w:t>
      </w:r>
      <w:proofErr w:type="spellEnd"/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 xml:space="preserve">A fejlesztési területen állami támogatással katonai harcászati járművek gyártásával foglalkozó üzem megvalósítását tervezik. </w:t>
      </w:r>
    </w:p>
    <w:p w:rsidR="00734BBA" w:rsidRDefault="00734BBA" w:rsidP="00734BBA">
      <w:pPr>
        <w:jc w:val="both"/>
        <w:rPr>
          <w:szCs w:val="24"/>
        </w:rPr>
      </w:pPr>
      <w:r>
        <w:rPr>
          <w:szCs w:val="24"/>
        </w:rPr>
        <w:t xml:space="preserve">A fejlesztési területen az ipari üzem tervezése során a beruházást lebonyolító ÉMI Építésügyi Minőségellenőrző Innovációs </w:t>
      </w:r>
      <w:proofErr w:type="spellStart"/>
      <w:r>
        <w:rPr>
          <w:szCs w:val="24"/>
        </w:rPr>
        <w:t>NKft</w:t>
      </w:r>
      <w:proofErr w:type="spellEnd"/>
      <w:r>
        <w:rPr>
          <w:szCs w:val="24"/>
        </w:rPr>
        <w:t xml:space="preserve">. kezdeményezte a területre vonatkozó szabályozás módosítását, a megengedett beépítési magasság növelését. A hatályos szabályozás szerinti 16 méteres épületmagasság új </w:t>
      </w:r>
      <w:proofErr w:type="spellStart"/>
      <w:r>
        <w:rPr>
          <w:szCs w:val="24"/>
        </w:rPr>
        <w:t>Gip</w:t>
      </w:r>
      <w:proofErr w:type="spellEnd"/>
      <w:r>
        <w:rPr>
          <w:szCs w:val="24"/>
        </w:rPr>
        <w:t xml:space="preserve"> jelű övezet alkalmazásával 19,00 méterre módosul annak érdekében, hogy a tervezett épületek elhelyezhetők legyenek.</w:t>
      </w:r>
    </w:p>
    <w:p w:rsidR="00734BBA" w:rsidRDefault="00734BBA" w:rsidP="00734BBA">
      <w:pPr>
        <w:jc w:val="center"/>
        <w:rPr>
          <w:bCs/>
          <w:color w:val="000000"/>
          <w:szCs w:val="24"/>
        </w:rPr>
      </w:pPr>
    </w:p>
    <w:p w:rsidR="00734BBA" w:rsidRDefault="00734BBA" w:rsidP="00734BBA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4. §</w:t>
      </w:r>
      <w:proofErr w:type="spellStart"/>
      <w:r>
        <w:rPr>
          <w:bCs/>
          <w:color w:val="000000"/>
          <w:szCs w:val="24"/>
        </w:rPr>
        <w:t>-hoz</w:t>
      </w:r>
      <w:proofErr w:type="spellEnd"/>
    </w:p>
    <w:p w:rsidR="00734BBA" w:rsidRDefault="00734BBA" w:rsidP="00734BBA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 szabályozási terv a beruházások megvalósítása érdekében módosul.</w:t>
      </w:r>
    </w:p>
    <w:p w:rsidR="00734BBA" w:rsidRDefault="00734BBA" w:rsidP="00734BBA">
      <w:pPr>
        <w:jc w:val="center"/>
        <w:rPr>
          <w:bCs/>
          <w:color w:val="000000"/>
          <w:szCs w:val="24"/>
        </w:rPr>
      </w:pPr>
    </w:p>
    <w:p w:rsidR="00734BBA" w:rsidRDefault="00734BBA" w:rsidP="00734BBA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5. §</w:t>
      </w:r>
      <w:proofErr w:type="spellStart"/>
      <w:r>
        <w:rPr>
          <w:bCs/>
          <w:color w:val="000000"/>
          <w:szCs w:val="24"/>
        </w:rPr>
        <w:t>-hoz</w:t>
      </w:r>
      <w:proofErr w:type="spellEnd"/>
    </w:p>
    <w:p w:rsidR="00734BBA" w:rsidRDefault="00734BBA" w:rsidP="00734BBA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Hatályba léptető, deregulációs rendelkezést és szabályozási átmenetet tartalmaz.</w:t>
      </w:r>
    </w:p>
    <w:p w:rsidR="00734BBA" w:rsidRDefault="00734BBA" w:rsidP="00734BBA">
      <w:pPr>
        <w:jc w:val="both"/>
        <w:rPr>
          <w:bCs/>
          <w:color w:val="000000"/>
          <w:szCs w:val="24"/>
        </w:rPr>
      </w:pPr>
    </w:p>
    <w:p w:rsidR="00734BBA" w:rsidRDefault="00734BBA" w:rsidP="00734BBA">
      <w:pPr>
        <w:jc w:val="both"/>
        <w:rPr>
          <w:b/>
        </w:rPr>
      </w:pPr>
      <w:r>
        <w:rPr>
          <w:b/>
        </w:rPr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kerül.</w:t>
      </w:r>
    </w:p>
    <w:p w:rsidR="00F26591" w:rsidRDefault="00F26591">
      <w:bookmarkStart w:id="0" w:name="_GoBack"/>
      <w:bookmarkEnd w:id="0"/>
    </w:p>
    <w:sectPr w:rsidR="00F2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1916"/>
    <w:multiLevelType w:val="hybridMultilevel"/>
    <w:tmpl w:val="D4E62F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A"/>
    <w:rsid w:val="00734BBA"/>
    <w:rsid w:val="00F2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AF281-DD6D-44CB-9B97-9ADDADD6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rsid w:val="00734BBA"/>
    <w:pPr>
      <w:suppressAutoHyphens w:val="0"/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2020-10-19T12:51:00Z</dcterms:created>
  <dcterms:modified xsi:type="dcterms:W3CDTF">2020-10-19T12:53:00Z</dcterms:modified>
</cp:coreProperties>
</file>