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BA" w:rsidRDefault="00734BBA" w:rsidP="00734BBA">
      <w:pPr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Indokolás</w:t>
      </w:r>
    </w:p>
    <w:p w:rsidR="00734BBA" w:rsidRDefault="00734BBA" w:rsidP="00734BBA">
      <w:pPr>
        <w:jc w:val="center"/>
        <w:rPr>
          <w:bCs/>
          <w:color w:val="000000"/>
          <w:szCs w:val="24"/>
        </w:rPr>
      </w:pPr>
    </w:p>
    <w:p w:rsidR="00734BBA" w:rsidRDefault="00734BBA" w:rsidP="00734BBA">
      <w:pPr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1. §</w:t>
      </w:r>
      <w:proofErr w:type="spellStart"/>
      <w:r>
        <w:rPr>
          <w:bCs/>
          <w:color w:val="000000"/>
          <w:szCs w:val="24"/>
        </w:rPr>
        <w:t>-hoz</w:t>
      </w:r>
      <w:proofErr w:type="spellEnd"/>
    </w:p>
    <w:p w:rsidR="00734BBA" w:rsidRDefault="00734BBA" w:rsidP="00734BBA">
      <w:pPr>
        <w:pStyle w:val="Listaszerbekezds1"/>
        <w:tabs>
          <w:tab w:val="left" w:pos="0"/>
        </w:tabs>
        <w:spacing w:after="0" w:line="24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Előkészítés alatt lévő beruházás kapcsán kezdeményezte az önkormányzat a településrendezési eszközök módosítását. Az Eötvös utca déli oldalán, a Mártírok és Ady Endre utca közötti szakaszon a helyi védett egykori óvoda épületének kivételével a meglévő épületeket elbontották. A 3188 és a 3192/1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telkek magántulajdonban, a 3192/2 és a 3193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telkek önkormányzati tulajdonban vannak. Telekalakítást követően a területet az önkormányzat beruházók felé kívánja értékesíteni. A beruházási szándék olyan fejlesztések elősegítése, mely a városközpont területén a fejlesztések rendeltetéséhez szükséges mennyiséget meghaladó gépkocsi elhelyezését biztosítja. A tervezett fejlesztés során kereskedelmi-, iroda-, és lakó funkció elhelyezésére van igény. A fejlesztési terület a városközpont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szlömös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foghíjterülete, melynek fejlesztési lehetőségeit az önkormányzat a beruházás számára a megengedhető legkedvezőbb mértékben kívánja meghatározni, elősegítve annak megvalósulását,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szlömös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foghíjterület beépítését. A fejlesztési terület négy telek több ütemben megvalósuló telekhatár rendezése során jönne létre.</w:t>
      </w:r>
    </w:p>
    <w:p w:rsidR="00734BBA" w:rsidRDefault="00734BBA" w:rsidP="00734BBA">
      <w:pPr>
        <w:jc w:val="center"/>
        <w:rPr>
          <w:bCs/>
          <w:color w:val="000000"/>
          <w:szCs w:val="24"/>
        </w:rPr>
      </w:pPr>
    </w:p>
    <w:p w:rsidR="00734BBA" w:rsidRDefault="00734BBA" w:rsidP="00734BBA">
      <w:pPr>
        <w:jc w:val="both"/>
        <w:rPr>
          <w:szCs w:val="24"/>
        </w:rPr>
      </w:pPr>
      <w:r>
        <w:rPr>
          <w:szCs w:val="24"/>
        </w:rPr>
        <w:t xml:space="preserve">A tervezett fejlesztést lehetővé tevő övezeti szabályozás a hátsókertre vonatkozó szabályok kivételével 2020. júniusában jóváhagyásra került. Jelen szabályozás módosítás csak a hátsókertre vonatkozóan módosítja a helyi építési szabályzatot. </w:t>
      </w:r>
    </w:p>
    <w:p w:rsidR="00734BBA" w:rsidRDefault="00734BBA" w:rsidP="00734BBA">
      <w:pPr>
        <w:jc w:val="both"/>
        <w:rPr>
          <w:szCs w:val="24"/>
        </w:rPr>
      </w:pPr>
      <w:r>
        <w:rPr>
          <w:szCs w:val="24"/>
        </w:rPr>
        <w:t xml:space="preserve">A tervezett beépítés a közbenső telek déli részén a teremgarázsok elhelyezése érdekében pinceszinten és földszinten a telek teljes szélességének beépítésével számol. A tervezett építés megvalósíthatósága érdekében szükséges a 3193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 xml:space="preserve"> telek nyugati telekhatára mentén építési helyet kijelölni, ugyanis az az Ady utcai közlekedési területi kapcsolat révén építéshatósággal egyeztetve hátsókertnek minősül, mely hátsókert mértékét a Vt-6 jelű övezet szabályozása 6 méterben állapítja meg. Szükséges tehát a 3193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 xml:space="preserve"> telek esetében a hátsókert mértékét 0 méterben szabályozni.</w:t>
      </w:r>
    </w:p>
    <w:p w:rsidR="00734BBA" w:rsidRDefault="00734BBA" w:rsidP="00734BBA">
      <w:pPr>
        <w:jc w:val="center"/>
        <w:rPr>
          <w:bCs/>
          <w:color w:val="000000"/>
          <w:szCs w:val="24"/>
          <w:highlight w:val="yellow"/>
        </w:rPr>
      </w:pPr>
    </w:p>
    <w:p w:rsidR="00734BBA" w:rsidRDefault="00734BBA" w:rsidP="00734BBA">
      <w:pPr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2. §</w:t>
      </w:r>
      <w:proofErr w:type="spellStart"/>
      <w:r>
        <w:rPr>
          <w:bCs/>
          <w:color w:val="000000"/>
          <w:szCs w:val="24"/>
        </w:rPr>
        <w:t>-hoz</w:t>
      </w:r>
      <w:proofErr w:type="spellEnd"/>
    </w:p>
    <w:p w:rsidR="00734BBA" w:rsidRDefault="00734BBA" w:rsidP="00734BBA">
      <w:pPr>
        <w:jc w:val="both"/>
        <w:rPr>
          <w:szCs w:val="24"/>
        </w:rPr>
      </w:pPr>
      <w:r>
        <w:rPr>
          <w:szCs w:val="24"/>
        </w:rPr>
        <w:t xml:space="preserve">A színház tervezett bővítéséhez, átépítéséhez kapcsolódó fejlesztési tervben több olyan elképzelés, javaslat szerepel, melyhez kapcsolódóan szükséges a szabályozási terv módosítása. A javaslatok az önkormányzati, szervezeti és magántulajdonosi érdekek érvényesülését szem előtt tartva, a felek kölcsönös megállapodása alapján fogalmazódtak meg. </w:t>
      </w:r>
    </w:p>
    <w:p w:rsidR="00734BBA" w:rsidRDefault="00734BBA" w:rsidP="00734BBA">
      <w:pPr>
        <w:jc w:val="both"/>
        <w:rPr>
          <w:szCs w:val="24"/>
        </w:rPr>
      </w:pPr>
      <w:r>
        <w:rPr>
          <w:szCs w:val="24"/>
        </w:rPr>
        <w:t>A tervek alapján növelni szükséges a területre vonatkozó megengedett legnagyobb beépíthetőség mértékét. Az új épületrészek, illetve az udvar beépítése miatt nem fér bele a beépítettség az övezetre meghatározott 60%-os megengedett legnagyobb beépítettségbe. A fejlesztési tervek alapján 85%-os beépítettség szükséges.</w:t>
      </w:r>
    </w:p>
    <w:p w:rsidR="00734BBA" w:rsidRDefault="00734BBA" w:rsidP="00734BBA">
      <w:pPr>
        <w:jc w:val="both"/>
        <w:rPr>
          <w:szCs w:val="24"/>
        </w:rPr>
      </w:pPr>
      <w:r>
        <w:rPr>
          <w:szCs w:val="24"/>
        </w:rPr>
        <w:t>A fejlesztési tervek alapján a tervező a meghatározott megengedett legkisebb zöldfelület mértékek nem tudja biztosítani. Ennek oka, hogy a mélygarázson, illetve a zöldtetőn elhelyezkedő felületek nem számítanak teljes értékűnek az OTÉK alapján, így azok nem elegendőek a szabályozásnak való megfeleléshez. A fejlesztési tervek alapján a megengedett legkisebb zöldfelületet – OTÉK alóli felmentés igénylésével – 5%-ban szükséges meghatározni.</w:t>
      </w:r>
    </w:p>
    <w:p w:rsidR="00734BBA" w:rsidRDefault="00734BBA" w:rsidP="00734BBA">
      <w:pPr>
        <w:jc w:val="both"/>
        <w:rPr>
          <w:szCs w:val="24"/>
        </w:rPr>
      </w:pPr>
      <w:r>
        <w:rPr>
          <w:szCs w:val="24"/>
        </w:rPr>
        <w:t>A hatályos terv szerinti Vi-5 jelű övezetben az épületmagasságra 16,0 méter, míg a homlokzatmagasság 17,5 méterben került meghatározásra. Az épületmagasságra vonatkozó előírásoknak a terv meg tud felelni, azonban a homlokzatmagasság az északi (18,11 m) és a keleti homlokzaton (18,71 m) is meghaladja az előírt értéket a zsinórpadlás miatt.</w:t>
      </w:r>
    </w:p>
    <w:p w:rsidR="00734BBA" w:rsidRDefault="00734BBA" w:rsidP="00734BBA">
      <w:pPr>
        <w:jc w:val="both"/>
        <w:rPr>
          <w:szCs w:val="24"/>
        </w:rPr>
      </w:pPr>
      <w:r>
        <w:rPr>
          <w:szCs w:val="24"/>
        </w:rPr>
        <w:t xml:space="preserve">A beépítési magasságok meghatározása során - a kölcsönös megállapodás alapján - a tervező olyan szabályozás létrehozását javasolta, mely a tömb területének egyes részein egyedi korlátozásokat ír elő. Ezek a telekrészek a tömbbelső udvara (2. zóna), illetve a szakszervezeti </w:t>
      </w:r>
      <w:r>
        <w:rPr>
          <w:szCs w:val="24"/>
        </w:rPr>
        <w:lastRenderedPageBreak/>
        <w:t xml:space="preserve">székház telkének nyugati része (1. zóna), ahol a következőképen került meghatározásra a magassági korlát: </w:t>
      </w:r>
    </w:p>
    <w:p w:rsidR="00734BBA" w:rsidRDefault="00734BBA" w:rsidP="00734BBA">
      <w:pPr>
        <w:numPr>
          <w:ilvl w:val="0"/>
          <w:numId w:val="1"/>
        </w:numPr>
        <w:suppressAutoHyphens w:val="0"/>
        <w:jc w:val="both"/>
        <w:rPr>
          <w:szCs w:val="24"/>
        </w:rPr>
      </w:pPr>
      <w:r>
        <w:rPr>
          <w:szCs w:val="24"/>
        </w:rPr>
        <w:t xml:space="preserve">zóna: elhelyezett építmény megengedett legnagyobb magassága 156,80 </w:t>
      </w:r>
      <w:proofErr w:type="spellStart"/>
      <w:r>
        <w:rPr>
          <w:szCs w:val="24"/>
        </w:rPr>
        <w:t>mBf</w:t>
      </w:r>
      <w:proofErr w:type="spellEnd"/>
    </w:p>
    <w:p w:rsidR="00734BBA" w:rsidRDefault="00734BBA" w:rsidP="00734BBA">
      <w:pPr>
        <w:numPr>
          <w:ilvl w:val="0"/>
          <w:numId w:val="1"/>
        </w:numPr>
        <w:suppressAutoHyphens w:val="0"/>
        <w:jc w:val="both"/>
        <w:rPr>
          <w:szCs w:val="24"/>
        </w:rPr>
      </w:pPr>
      <w:r>
        <w:rPr>
          <w:szCs w:val="24"/>
        </w:rPr>
        <w:t xml:space="preserve"> elhelyezett építmény megengedett legnagyobb magassága 157,20 </w:t>
      </w:r>
      <w:proofErr w:type="spellStart"/>
      <w:r>
        <w:rPr>
          <w:szCs w:val="24"/>
        </w:rPr>
        <w:t>mBf</w:t>
      </w:r>
      <w:proofErr w:type="spellEnd"/>
    </w:p>
    <w:p w:rsidR="00734BBA" w:rsidRDefault="00734BBA" w:rsidP="00734BBA">
      <w:pPr>
        <w:jc w:val="both"/>
        <w:rPr>
          <w:bCs/>
          <w:color w:val="000000"/>
          <w:szCs w:val="24"/>
          <w:highlight w:val="yellow"/>
        </w:rPr>
      </w:pPr>
      <w:r>
        <w:rPr>
          <w:szCs w:val="24"/>
        </w:rPr>
        <w:t>A módosítás során a színház fejlesztésének megvalósítása érdekében szükségszerű a tervekben javasolt értékek helyi építési szabályzatba való átvezetése. A színház területét egy új intézményi vegyes övezetbe kell sorolni, mely a Vi-10 jelű övezet lesz.</w:t>
      </w:r>
    </w:p>
    <w:p w:rsidR="00734BBA" w:rsidRDefault="00734BBA" w:rsidP="00734BBA">
      <w:pPr>
        <w:jc w:val="center"/>
        <w:rPr>
          <w:bCs/>
          <w:color w:val="000000"/>
          <w:szCs w:val="24"/>
          <w:highlight w:val="yellow"/>
        </w:rPr>
      </w:pPr>
    </w:p>
    <w:p w:rsidR="00734BBA" w:rsidRDefault="00734BBA" w:rsidP="00734BBA">
      <w:pPr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3. §</w:t>
      </w:r>
      <w:proofErr w:type="spellStart"/>
      <w:r>
        <w:rPr>
          <w:bCs/>
          <w:color w:val="000000"/>
          <w:szCs w:val="24"/>
        </w:rPr>
        <w:t>-hoz</w:t>
      </w:r>
      <w:proofErr w:type="spellEnd"/>
    </w:p>
    <w:p w:rsidR="00734BBA" w:rsidRDefault="00734BBA" w:rsidP="00734BBA">
      <w:pPr>
        <w:jc w:val="both"/>
        <w:rPr>
          <w:szCs w:val="24"/>
        </w:rPr>
      </w:pPr>
      <w:r>
        <w:rPr>
          <w:szCs w:val="24"/>
        </w:rPr>
        <w:t xml:space="preserve">A fejlesztési területen állami támogatással katonai harcászati járművek gyártásával foglalkozó üzem megvalósítását tervezik. </w:t>
      </w:r>
    </w:p>
    <w:p w:rsidR="00734BBA" w:rsidRDefault="00734BBA" w:rsidP="00734BBA">
      <w:pPr>
        <w:jc w:val="both"/>
        <w:rPr>
          <w:szCs w:val="24"/>
        </w:rPr>
      </w:pPr>
      <w:r>
        <w:rPr>
          <w:szCs w:val="24"/>
        </w:rPr>
        <w:t xml:space="preserve">A fejlesztési területen az ipari üzem tervezése során a beruházást lebonyolító ÉMI Építésügyi Minőségellenőrző Innovációs </w:t>
      </w:r>
      <w:proofErr w:type="spellStart"/>
      <w:r>
        <w:rPr>
          <w:szCs w:val="24"/>
        </w:rPr>
        <w:t>NKft</w:t>
      </w:r>
      <w:proofErr w:type="spellEnd"/>
      <w:r>
        <w:rPr>
          <w:szCs w:val="24"/>
        </w:rPr>
        <w:t xml:space="preserve">. kezdeményezte a területre vonatkozó szabályozás módosítását, a megengedett beépítési magasság növelését. A hatályos szabályozás szerinti 16 méteres épületmagasság új </w:t>
      </w:r>
      <w:proofErr w:type="spellStart"/>
      <w:r>
        <w:rPr>
          <w:szCs w:val="24"/>
        </w:rPr>
        <w:t>Gip</w:t>
      </w:r>
      <w:proofErr w:type="spellEnd"/>
      <w:r>
        <w:rPr>
          <w:szCs w:val="24"/>
        </w:rPr>
        <w:t xml:space="preserve"> jelű övezet alkalmazásával 19,00 méterre módosul annak érdekében, hogy a tervezett épületek elhelyezhetők legyenek.</w:t>
      </w:r>
    </w:p>
    <w:p w:rsidR="00734BBA" w:rsidRDefault="00734BBA" w:rsidP="00734BBA">
      <w:pPr>
        <w:jc w:val="center"/>
        <w:rPr>
          <w:bCs/>
          <w:color w:val="000000"/>
          <w:szCs w:val="24"/>
        </w:rPr>
      </w:pPr>
    </w:p>
    <w:p w:rsidR="00734BBA" w:rsidRDefault="00734BBA" w:rsidP="00734BBA">
      <w:pPr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4. §</w:t>
      </w:r>
      <w:proofErr w:type="spellStart"/>
      <w:r>
        <w:rPr>
          <w:bCs/>
          <w:color w:val="000000"/>
          <w:szCs w:val="24"/>
        </w:rPr>
        <w:t>-hoz</w:t>
      </w:r>
      <w:proofErr w:type="spellEnd"/>
    </w:p>
    <w:p w:rsidR="00734BBA" w:rsidRDefault="00734BBA" w:rsidP="00734BBA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 szabályozási terv a beruházások megvalósítása érdekében módosul.</w:t>
      </w:r>
    </w:p>
    <w:p w:rsidR="00734BBA" w:rsidRDefault="00734BBA" w:rsidP="00734BBA">
      <w:pPr>
        <w:jc w:val="center"/>
        <w:rPr>
          <w:bCs/>
          <w:color w:val="000000"/>
          <w:szCs w:val="24"/>
        </w:rPr>
      </w:pPr>
    </w:p>
    <w:p w:rsidR="00734BBA" w:rsidRDefault="00734BBA" w:rsidP="00734BBA">
      <w:pPr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5. §</w:t>
      </w:r>
      <w:proofErr w:type="spellStart"/>
      <w:r>
        <w:rPr>
          <w:bCs/>
          <w:color w:val="000000"/>
          <w:szCs w:val="24"/>
        </w:rPr>
        <w:t>-hoz</w:t>
      </w:r>
      <w:proofErr w:type="spellEnd"/>
    </w:p>
    <w:p w:rsidR="00734BBA" w:rsidRDefault="00734BBA" w:rsidP="00734BBA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Hatályba léptető, deregulációs rendelkezést és szabályozási átmenetet tartalmaz.</w:t>
      </w:r>
    </w:p>
    <w:p w:rsidR="00734BBA" w:rsidRDefault="00734BBA" w:rsidP="00734BBA">
      <w:pPr>
        <w:jc w:val="both"/>
        <w:rPr>
          <w:bCs/>
          <w:color w:val="000000"/>
          <w:szCs w:val="24"/>
        </w:rPr>
      </w:pPr>
    </w:p>
    <w:p w:rsidR="00734BBA" w:rsidRDefault="00734BBA" w:rsidP="00734BBA">
      <w:pPr>
        <w:jc w:val="both"/>
        <w:rPr>
          <w:b/>
        </w:rPr>
      </w:pPr>
      <w:r>
        <w:rPr>
          <w:b/>
        </w:rPr>
        <w:t>Ezen indokolás a jogalkotásról szóló 2010. évi CXXX. törvény 18. § (3) bekezdése és a Magyar Közlöny kiadásáról, valamint a jogszabály kihirdetése során történő és a közjogi szervezetszabályozó eszköz közzététele során történő megjelöléséről szóló 5/2019. (III. 13.) IM rendelet 20. § (3) bekezdésében foglaltak alapján a rendelet kihirdetését követően a Nemzeti Jogszabálytárban közzétételre kerül.</w:t>
      </w:r>
    </w:p>
    <w:p w:rsidR="00F26591" w:rsidRDefault="00F26591">
      <w:bookmarkStart w:id="0" w:name="_GoBack"/>
      <w:bookmarkEnd w:id="0"/>
    </w:p>
    <w:sectPr w:rsidR="00F2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916"/>
    <w:multiLevelType w:val="hybridMultilevel"/>
    <w:tmpl w:val="D4E62F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A"/>
    <w:rsid w:val="00734BBA"/>
    <w:rsid w:val="00F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F281-DD6D-44CB-9B97-9ADDADD6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4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734BBA"/>
    <w:pPr>
      <w:suppressAutoHyphens w:val="0"/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Fata Anikó</dc:creator>
  <cp:keywords/>
  <dc:description/>
  <cp:lastModifiedBy>dr. Fata Anikó</cp:lastModifiedBy>
  <cp:revision>1</cp:revision>
  <dcterms:created xsi:type="dcterms:W3CDTF">2020-10-19T12:51:00Z</dcterms:created>
  <dcterms:modified xsi:type="dcterms:W3CDTF">2020-10-19T12:53:00Z</dcterms:modified>
</cp:coreProperties>
</file>