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FEB727" w14:textId="77777777" w:rsidR="00D97262" w:rsidRDefault="00D97262" w:rsidP="00D97262">
      <w:pPr>
        <w:pStyle w:val="cf0agj"/>
        <w:shd w:val="clear" w:color="auto" w:fill="FFFFFF"/>
        <w:spacing w:before="0" w:beforeAutospacing="0" w:after="0" w:afterAutospacing="0"/>
        <w:jc w:val="both"/>
        <w:rPr>
          <w:b/>
          <w:bCs/>
        </w:rPr>
      </w:pPr>
      <w:r w:rsidRPr="00625B67">
        <w:rPr>
          <w:b/>
          <w:bCs/>
        </w:rPr>
        <w:t xml:space="preserve">Helyi Építési Szabályzatról és </w:t>
      </w:r>
      <w:r>
        <w:rPr>
          <w:b/>
          <w:bCs/>
        </w:rPr>
        <w:t>S</w:t>
      </w:r>
      <w:r w:rsidRPr="00625B67">
        <w:rPr>
          <w:b/>
          <w:bCs/>
        </w:rPr>
        <w:t xml:space="preserve">zabályozási </w:t>
      </w:r>
      <w:r>
        <w:rPr>
          <w:b/>
          <w:bCs/>
        </w:rPr>
        <w:t>T</w:t>
      </w:r>
      <w:r w:rsidRPr="00625B67">
        <w:rPr>
          <w:b/>
          <w:bCs/>
        </w:rPr>
        <w:t>erv</w:t>
      </w:r>
      <w:r>
        <w:rPr>
          <w:b/>
          <w:bCs/>
        </w:rPr>
        <w:t>é</w:t>
      </w:r>
      <w:r w:rsidRPr="00625B67">
        <w:rPr>
          <w:b/>
          <w:bCs/>
        </w:rPr>
        <w:t>ről szóló 1/2006. (I.31.) szám</w:t>
      </w:r>
      <w:r>
        <w:rPr>
          <w:b/>
          <w:bCs/>
        </w:rPr>
        <w:t>ú</w:t>
      </w:r>
      <w:r w:rsidRPr="00625B67">
        <w:rPr>
          <w:b/>
          <w:bCs/>
        </w:rPr>
        <w:t xml:space="preserve"> rendelet módosítása</w:t>
      </w:r>
    </w:p>
    <w:p w14:paraId="3BC54C8D" w14:textId="77777777" w:rsidR="00D97262" w:rsidRDefault="00D97262" w:rsidP="00D97262">
      <w:pPr>
        <w:pStyle w:val="cf0agj"/>
        <w:shd w:val="clear" w:color="auto" w:fill="FFFFFF"/>
        <w:spacing w:before="0" w:beforeAutospacing="0" w:after="0" w:afterAutospacing="0"/>
        <w:jc w:val="both"/>
        <w:rPr>
          <w:b/>
          <w:bCs/>
        </w:rPr>
      </w:pPr>
    </w:p>
    <w:p w14:paraId="1B16A0F4" w14:textId="77777777" w:rsidR="00D97262" w:rsidRPr="00184782" w:rsidRDefault="00D97262" w:rsidP="00D97262">
      <w:pPr>
        <w:jc w:val="both"/>
        <w:rPr>
          <w:bCs/>
          <w:iCs/>
        </w:rPr>
      </w:pPr>
      <w:r>
        <w:rPr>
          <w:color w:val="222222"/>
          <w:shd w:val="clear" w:color="auto" w:fill="FFFFFF"/>
        </w:rPr>
        <w:t>A katasztrófavédelemről és a hozzá kapcsolódó egyes törvények módosításáról szóló 2011. évi CXXVIII. törvény 46. § (4) bekezdése alapján a 478/2020. (XI.3.) Korm. rendelettel kihirdetett veszélyhelyzetre tekintettel a veszélyhelyzet idejére biztosított polgármesteri jogkörömben eljárva a következő rendeletet hozom:</w:t>
      </w:r>
    </w:p>
    <w:p w14:paraId="4E29816A" w14:textId="77777777" w:rsidR="00D97262" w:rsidRPr="00EE4B5F" w:rsidRDefault="00D97262" w:rsidP="00D97262">
      <w:pPr>
        <w:pStyle w:val="cf0agj"/>
        <w:shd w:val="clear" w:color="auto" w:fill="FFFFFF"/>
        <w:spacing w:before="0" w:beforeAutospacing="0" w:after="0" w:afterAutospacing="0"/>
        <w:jc w:val="both"/>
      </w:pPr>
    </w:p>
    <w:p w14:paraId="29569201" w14:textId="77777777" w:rsidR="00D97262" w:rsidRPr="00EE4B5F" w:rsidRDefault="00D97262" w:rsidP="00D97262">
      <w:pPr>
        <w:jc w:val="center"/>
        <w:rPr>
          <w:rFonts w:eastAsia="Calibri"/>
          <w:b/>
        </w:rPr>
      </w:pPr>
      <w:r w:rsidRPr="00EE4B5F">
        <w:rPr>
          <w:rFonts w:eastAsia="Calibri"/>
          <w:b/>
        </w:rPr>
        <w:t xml:space="preserve">Lábatlan Város </w:t>
      </w:r>
      <w:r>
        <w:rPr>
          <w:rFonts w:eastAsia="Calibri"/>
          <w:b/>
        </w:rPr>
        <w:t>Önkormányzat Képviselő-testülete</w:t>
      </w:r>
    </w:p>
    <w:p w14:paraId="792C09AD" w14:textId="77777777" w:rsidR="00D97262" w:rsidRPr="00EE4B5F" w:rsidRDefault="00D97262" w:rsidP="00D97262">
      <w:pPr>
        <w:ind w:firstLine="708"/>
        <w:rPr>
          <w:rFonts w:eastAsia="Calibri"/>
          <w:b/>
        </w:rPr>
      </w:pPr>
      <w:r>
        <w:rPr>
          <w:rFonts w:eastAsia="Calibri"/>
          <w:b/>
        </w:rPr>
        <w:t>14</w:t>
      </w:r>
      <w:r w:rsidRPr="00EE4B5F">
        <w:rPr>
          <w:rFonts w:eastAsia="Calibri"/>
          <w:b/>
        </w:rPr>
        <w:t>/2020.(</w:t>
      </w:r>
      <w:r>
        <w:rPr>
          <w:rFonts w:eastAsia="Calibri"/>
          <w:b/>
        </w:rPr>
        <w:t>XI.25</w:t>
      </w:r>
      <w:r w:rsidRPr="00EE4B5F">
        <w:rPr>
          <w:rFonts w:eastAsia="Calibri"/>
          <w:b/>
        </w:rPr>
        <w:t xml:space="preserve">) </w:t>
      </w:r>
      <w:r>
        <w:rPr>
          <w:rFonts w:eastAsia="Calibri"/>
          <w:b/>
        </w:rPr>
        <w:t>önkormányzati</w:t>
      </w:r>
      <w:r w:rsidRPr="00EE4B5F">
        <w:rPr>
          <w:rFonts w:eastAsia="Calibri"/>
          <w:b/>
        </w:rPr>
        <w:t xml:space="preserve"> rendelete Lábatlan Város Önkormányzatának </w:t>
      </w:r>
    </w:p>
    <w:p w14:paraId="297C1F78" w14:textId="77777777" w:rsidR="00D97262" w:rsidRPr="00EE4B5F" w:rsidRDefault="00D97262" w:rsidP="00D97262">
      <w:pPr>
        <w:jc w:val="center"/>
        <w:rPr>
          <w:rFonts w:eastAsia="Calibri"/>
          <w:b/>
        </w:rPr>
      </w:pPr>
      <w:r w:rsidRPr="00EE4B5F">
        <w:rPr>
          <w:rFonts w:eastAsia="Calibri"/>
          <w:b/>
        </w:rPr>
        <w:t>1/2006.(I.31.) rendelete Lábatlan helyi építési szabályzatról és szabályozási tervéről módosításáról</w:t>
      </w:r>
    </w:p>
    <w:p w14:paraId="19D00E8B" w14:textId="77777777" w:rsidR="00D97262" w:rsidRPr="00EE4B5F" w:rsidRDefault="00D97262" w:rsidP="00D97262">
      <w:pPr>
        <w:jc w:val="center"/>
        <w:rPr>
          <w:rFonts w:eastAsia="Calibri"/>
          <w:b/>
        </w:rPr>
      </w:pPr>
    </w:p>
    <w:p w14:paraId="5DCABD11" w14:textId="77777777" w:rsidR="00D97262" w:rsidRPr="00EE4B5F" w:rsidRDefault="00D97262" w:rsidP="00D97262">
      <w:pPr>
        <w:jc w:val="center"/>
        <w:rPr>
          <w:rFonts w:eastAsia="Calibri"/>
          <w:b/>
        </w:rPr>
      </w:pPr>
    </w:p>
    <w:p w14:paraId="45C41575" w14:textId="77777777" w:rsidR="00D97262" w:rsidRPr="00EE4B5F" w:rsidRDefault="00D97262" w:rsidP="00D97262">
      <w:pPr>
        <w:jc w:val="both"/>
        <w:rPr>
          <w:rFonts w:eastAsia="Calibri"/>
          <w:sz w:val="22"/>
          <w:szCs w:val="22"/>
        </w:rPr>
      </w:pPr>
      <w:r w:rsidRPr="00EE4B5F">
        <w:rPr>
          <w:rFonts w:eastAsia="Calibri"/>
          <w:color w:val="000000"/>
          <w:sz w:val="22"/>
          <w:szCs w:val="22"/>
        </w:rPr>
        <w:t xml:space="preserve">Lábatlan Város Önkormányzat </w:t>
      </w:r>
      <w:r>
        <w:rPr>
          <w:rFonts w:eastAsia="Calibri"/>
          <w:color w:val="000000"/>
          <w:sz w:val="22"/>
          <w:szCs w:val="22"/>
        </w:rPr>
        <w:t>Képviselő-testülete</w:t>
      </w:r>
      <w:r w:rsidRPr="00EE4B5F">
        <w:rPr>
          <w:rFonts w:eastAsia="Calibri"/>
          <w:color w:val="000000"/>
          <w:sz w:val="22"/>
          <w:szCs w:val="22"/>
        </w:rPr>
        <w:t xml:space="preserve"> az épített környezet alakításáról és védelméről szóló 1997. évi LXXVIII. törvény 62. § (6) bekezdésében 6. pontjában kapott felhatalmazás alapján, az Alaptörvény 32. cikk (1) bekezdés a) pontjában, a Magyarország helyi önkormányzatairól szóló 2011. évi CLXXXIX. törvény 13. § (1) bekezdés 1. pontjában és az épített környezet alakításáról és védelméről szóló 1997. évi LXXVIII. törvény 6. § (1) bekezdésében és a 13§ (1) bekezdésében meghatározott feladatkörében eljárva, </w:t>
      </w:r>
      <w:r w:rsidRPr="00EE4B5F">
        <w:rPr>
          <w:rFonts w:eastAsia="Calibri"/>
          <w:sz w:val="22"/>
          <w:szCs w:val="22"/>
        </w:rPr>
        <w:t>a településfejlesztési koncepcióról, az integrált településfejlesztési stratégiáról és a településrendezési eszközökről, valamint egyes területrendezési sajátos jogintézményekről szóló 314/2012. (XI. 8.) Kormányrendelet VI. fejezetének eljárási szabályai alapján, a településfejlesztési koncepcióról, az integrált településfejlesztési stratégiáról és a településrendezési eszközökről, valamint egyes területrendezési sajátos jogintézményekről szóló 314/2012. (XI. 8.) Korm. rendelet 28.§ (1) bekezdésében biztosított véleményezési jogkörében eljáró államigazgatási szervek, a településfejlesztési koncepcióról, az integrált településfejlesztési stratégiáról és a település-rendezési eszközökről, valamint egyes területrendezési sajátos jogintézményekről szóló 314/2012. (XI. 8.) Korm. rendelet 42</w:t>
      </w:r>
      <w:r w:rsidRPr="00BB340C">
        <w:rPr>
          <w:rFonts w:eastAsia="Calibri"/>
          <w:sz w:val="22"/>
          <w:szCs w:val="22"/>
        </w:rPr>
        <w:t>.§ (4)</w:t>
      </w:r>
      <w:r w:rsidRPr="00EE4B5F">
        <w:rPr>
          <w:rFonts w:eastAsia="Calibri"/>
          <w:sz w:val="22"/>
          <w:szCs w:val="22"/>
        </w:rPr>
        <w:t xml:space="preserve"> bekezdésében biztosított véleményezési jogkörében eljáró Komárom-Esztergom Megyei Kormányhivatal Kormánymegbízotti Kabinet Állami Főépítész, Komárom-Esztergom Megyei Kormányhivatal Hatósági Főosztály Építésügyi Osztály, Komárom-Esztergom Megyei Kormányhivatal Tatabányai Járási Hivatal Agrárügyi és Környezetvédelmi Főosztály Környezetvédelmi és Természetvédelmi Osztály, Duna-Ipoly Nemzeti park Igazgatóság, Győr-Moson-Sopron Megyei Katasztrófavédelmi Igazgatóság, Országos Vízügyi Főigazgatóság, Észak-dunántúli Vízügyi Igazgatóság, Komárom-Esztergom Megyei Katasztrófavédelmi Igazgatóság, Komárom-Esztergom Megyei Kormányhivatal Népegészségügyi Főosztály, Budapest Főváros Kormányhivatala Közlekedési Főosztály, Innovációs és Technológiai Minisztérium Vasúti Hatósági Főosztály, Innovációs és Technológiai Minisztérium Hajózási Hatósági Főosztály, Innovációs és Technológiai Minisztérium Légiforgalmi és Repülőtéri Hatósági Főosztály, Honvédelmi Minisztérium Állami Légügyi Főosztály (katonai légügyi hatóság), Komárom-Esztergom Megyei Kormányhivatal Tatabányai Járási Hivatal Műszaki Engedélyezési és Fogyasztóvédelmi Főosztály Útügyi osztály, Komárom-Esztergom Megyei Kormányhivatal Tatabányai Járási Hivatal Járási Építésügyi és Örökségvédelmi Hivatala, Komárom-Esztergom Megyei Kormányhivatal Élelmiszerlánc-biztonsági és Földhivatali Főosztály Földhivatali Osztály, Pest Megyei Kormányhivatal Érdi Járási Hivatala Földművelésügyi és Erdőgazdálkodási Főosztály – Erdőfelügyeleti Osztály, Erdőtervezési Osztály, Honvédelmi Minisztérium Hatósági Főosztály, Komárom-Esztergom Megyei Rendőr-főkapitányság, Pest Megyei Kormányhivatal Bányafelügyeleti Főosztály, Nemzeti Média- és Hírközlési Hatóság, Budapest Főváros Kormányhivatala Népegészségügyi Főosztály, Komárom-Esztergom Megyei Önkormányzati Hivatal, Nyergesújfalu Város Önkormányzata, Süttő Község Önkormányzata, valamint a partnerségi egyeztetés szabályairól szóló11/2017.(III.31.) önkormányzati rendelet szerinti partnerek véleménye alapján, a következőket rendeli el:</w:t>
      </w:r>
    </w:p>
    <w:p w14:paraId="0E781302" w14:textId="77777777" w:rsidR="00D97262" w:rsidRPr="00EE4B5F" w:rsidRDefault="00D97262" w:rsidP="00D97262">
      <w:pPr>
        <w:ind w:left="284" w:hanging="284"/>
        <w:jc w:val="both"/>
        <w:rPr>
          <w:rFonts w:eastAsia="Calibri"/>
          <w:b/>
        </w:rPr>
      </w:pPr>
    </w:p>
    <w:p w14:paraId="2F7DDD9D" w14:textId="77777777" w:rsidR="00D97262" w:rsidRPr="00EE4B5F" w:rsidRDefault="00D97262" w:rsidP="00D97262">
      <w:pPr>
        <w:ind w:left="426" w:hanging="426"/>
        <w:jc w:val="both"/>
        <w:rPr>
          <w:rFonts w:eastAsia="Calibri"/>
          <w:sz w:val="22"/>
          <w:szCs w:val="22"/>
        </w:rPr>
      </w:pPr>
      <w:r w:rsidRPr="00EE4B5F">
        <w:rPr>
          <w:rFonts w:eastAsia="Calibri"/>
          <w:b/>
          <w:sz w:val="22"/>
          <w:szCs w:val="22"/>
        </w:rPr>
        <w:t>1.§</w:t>
      </w:r>
      <w:r w:rsidRPr="00EE4B5F">
        <w:rPr>
          <w:rFonts w:eastAsia="Calibri"/>
          <w:bCs/>
          <w:sz w:val="22"/>
          <w:szCs w:val="22"/>
        </w:rPr>
        <w:t xml:space="preserve"> Lábatlan Város Önkormányzatának 1/2006. (I.31.) rendelete Lábatlan helyi építési szabályzatról és szabályozási tervéről (a továbbiakban: Rendelet) 2. § (2) bekezdése az alábbiak szerint módosul</w:t>
      </w:r>
      <w:r w:rsidRPr="00EE4B5F">
        <w:rPr>
          <w:rFonts w:eastAsia="Calibri"/>
          <w:sz w:val="22"/>
          <w:szCs w:val="22"/>
        </w:rPr>
        <w:t>:</w:t>
      </w:r>
    </w:p>
    <w:p w14:paraId="0AAB981F" w14:textId="37627222" w:rsidR="00D97262" w:rsidRPr="00EE4B5F" w:rsidRDefault="00D97262" w:rsidP="00D97262">
      <w:pPr>
        <w:suppressAutoHyphens/>
        <w:overflowPunct w:val="0"/>
        <w:autoSpaceDE w:val="0"/>
        <w:autoSpaceDN w:val="0"/>
        <w:adjustRightInd w:val="0"/>
        <w:spacing w:after="240"/>
        <w:ind w:left="709" w:hanging="283"/>
        <w:jc w:val="both"/>
        <w:textAlignment w:val="baseline"/>
        <w:rPr>
          <w:rFonts w:eastAsia="Calibri"/>
          <w:spacing w:val="-2"/>
          <w:sz w:val="22"/>
          <w:szCs w:val="22"/>
        </w:rPr>
      </w:pPr>
      <w:r w:rsidRPr="00EE4B5F">
        <w:rPr>
          <w:rFonts w:eastAsia="Calibri"/>
          <w:spacing w:val="-2"/>
          <w:sz w:val="22"/>
          <w:szCs w:val="22"/>
        </w:rPr>
        <w:lastRenderedPageBreak/>
        <w:t>(2) A rendelet előírásait az annak mellékletét képező szabályozási tervekkel (7/a-d., 8. sz. tervlapok), 17/2013.(XI.13.) rendelet mellékletét képező 2/1-3. sz. tervlap-</w:t>
      </w:r>
      <w:proofErr w:type="spellStart"/>
      <w:r w:rsidRPr="00EE4B5F">
        <w:rPr>
          <w:rFonts w:eastAsia="Calibri"/>
          <w:spacing w:val="-2"/>
          <w:sz w:val="22"/>
          <w:szCs w:val="22"/>
        </w:rPr>
        <w:t>fedvények</w:t>
      </w:r>
      <w:proofErr w:type="spellEnd"/>
      <w:r w:rsidRPr="00EE4B5F">
        <w:rPr>
          <w:rFonts w:eastAsia="Calibri"/>
          <w:spacing w:val="-2"/>
          <w:sz w:val="22"/>
          <w:szCs w:val="22"/>
        </w:rPr>
        <w:t>, 22/2015.(XII.16.) rendelet mellékletét képező tervlap-</w:t>
      </w:r>
      <w:proofErr w:type="spellStart"/>
      <w:r w:rsidRPr="00EE4B5F">
        <w:rPr>
          <w:rFonts w:eastAsia="Calibri"/>
          <w:spacing w:val="-2"/>
          <w:sz w:val="22"/>
          <w:szCs w:val="22"/>
        </w:rPr>
        <w:t>fedvény</w:t>
      </w:r>
      <w:proofErr w:type="spellEnd"/>
      <w:r w:rsidRPr="00EE4B5F">
        <w:rPr>
          <w:rFonts w:eastAsia="Calibri"/>
          <w:spacing w:val="-2"/>
          <w:sz w:val="22"/>
          <w:szCs w:val="22"/>
        </w:rPr>
        <w:t xml:space="preserve">, valamint a </w:t>
      </w:r>
      <w:r w:rsidR="00991CE2">
        <w:rPr>
          <w:rFonts w:eastAsia="Calibri"/>
          <w:spacing w:val="-2"/>
          <w:sz w:val="22"/>
          <w:szCs w:val="22"/>
        </w:rPr>
        <w:t>14</w:t>
      </w:r>
      <w:r w:rsidRPr="00EE4B5F">
        <w:rPr>
          <w:rFonts w:eastAsia="Calibri"/>
          <w:spacing w:val="-2"/>
          <w:sz w:val="22"/>
          <w:szCs w:val="22"/>
        </w:rPr>
        <w:t>/2020.(</w:t>
      </w:r>
      <w:r w:rsidR="00991CE2">
        <w:rPr>
          <w:rFonts w:eastAsia="Calibri"/>
          <w:spacing w:val="-2"/>
          <w:sz w:val="22"/>
          <w:szCs w:val="22"/>
        </w:rPr>
        <w:t>XI.25.</w:t>
      </w:r>
      <w:r w:rsidRPr="00EE4B5F">
        <w:rPr>
          <w:rFonts w:eastAsia="Calibri"/>
          <w:spacing w:val="-2"/>
          <w:sz w:val="22"/>
          <w:szCs w:val="22"/>
        </w:rPr>
        <w:t>) rendelet mellékletét képező SZT-mód. jelű tervlap-</w:t>
      </w:r>
      <w:proofErr w:type="spellStart"/>
      <w:r w:rsidRPr="00EE4B5F">
        <w:rPr>
          <w:rFonts w:eastAsia="Calibri"/>
          <w:spacing w:val="-2"/>
          <w:sz w:val="22"/>
          <w:szCs w:val="22"/>
        </w:rPr>
        <w:t>fedvény</w:t>
      </w:r>
      <w:proofErr w:type="spellEnd"/>
      <w:r w:rsidRPr="00EE4B5F">
        <w:rPr>
          <w:rFonts w:eastAsia="Calibri"/>
          <w:spacing w:val="-2"/>
          <w:sz w:val="22"/>
          <w:szCs w:val="22"/>
        </w:rPr>
        <w:t>) együtt kell alkalmazni.</w:t>
      </w:r>
    </w:p>
    <w:p w14:paraId="73F786B2" w14:textId="77777777" w:rsidR="00D97262" w:rsidRPr="00EE4B5F" w:rsidRDefault="00D97262" w:rsidP="00D97262">
      <w:pPr>
        <w:ind w:left="426" w:hanging="426"/>
        <w:jc w:val="both"/>
        <w:rPr>
          <w:rFonts w:eastAsia="Calibri"/>
          <w:sz w:val="22"/>
          <w:szCs w:val="22"/>
        </w:rPr>
      </w:pPr>
    </w:p>
    <w:p w14:paraId="79F745A9" w14:textId="77777777" w:rsidR="00D97262" w:rsidRPr="00EE4B5F" w:rsidRDefault="00D97262" w:rsidP="00D97262">
      <w:pPr>
        <w:spacing w:after="120"/>
        <w:ind w:left="426" w:hanging="426"/>
        <w:jc w:val="both"/>
        <w:rPr>
          <w:rFonts w:eastAsia="Calibri"/>
          <w:b/>
          <w:sz w:val="22"/>
          <w:szCs w:val="22"/>
        </w:rPr>
      </w:pPr>
    </w:p>
    <w:p w14:paraId="1E384CEC" w14:textId="77777777" w:rsidR="00D97262" w:rsidRPr="00EE4B5F" w:rsidRDefault="00D97262" w:rsidP="00D97262">
      <w:pPr>
        <w:spacing w:after="120"/>
        <w:ind w:left="357" w:hanging="357"/>
        <w:jc w:val="both"/>
        <w:rPr>
          <w:rFonts w:eastAsia="Calibri"/>
          <w:sz w:val="22"/>
          <w:szCs w:val="22"/>
        </w:rPr>
      </w:pPr>
      <w:r w:rsidRPr="00EE4B5F">
        <w:rPr>
          <w:rFonts w:eastAsia="Calibri"/>
          <w:b/>
          <w:sz w:val="22"/>
          <w:szCs w:val="22"/>
        </w:rPr>
        <w:t>2.§</w:t>
      </w:r>
      <w:r w:rsidRPr="00EE4B5F">
        <w:rPr>
          <w:rFonts w:eastAsia="Calibri"/>
          <w:sz w:val="22"/>
          <w:szCs w:val="22"/>
        </w:rPr>
        <w:t xml:space="preserve"> A Rendelet 4. § (4) bekezdése az alábbi f) ponttal egészül ki:</w:t>
      </w:r>
    </w:p>
    <w:p w14:paraId="70EBBC31" w14:textId="77777777" w:rsidR="00D97262" w:rsidRPr="00EE4B5F" w:rsidRDefault="00D97262" w:rsidP="00D97262">
      <w:pPr>
        <w:ind w:firstLine="360"/>
        <w:jc w:val="both"/>
        <w:rPr>
          <w:rFonts w:eastAsia="Calibri"/>
          <w:b/>
          <w:sz w:val="22"/>
          <w:szCs w:val="22"/>
        </w:rPr>
      </w:pPr>
      <w:r w:rsidRPr="00EE4B5F">
        <w:rPr>
          <w:rFonts w:eastAsia="Calibri"/>
          <w:sz w:val="22"/>
          <w:szCs w:val="22"/>
        </w:rPr>
        <w:t>f) különleges beépítésre nem szánt idegenforgalmi célú terület.</w:t>
      </w:r>
    </w:p>
    <w:p w14:paraId="1E9FA86D" w14:textId="77777777" w:rsidR="00D97262" w:rsidRPr="00EE4B5F" w:rsidRDefault="00D97262" w:rsidP="00D97262">
      <w:pPr>
        <w:spacing w:before="240" w:after="120"/>
        <w:ind w:left="357" w:hanging="357"/>
        <w:jc w:val="both"/>
        <w:rPr>
          <w:rFonts w:eastAsia="Calibri"/>
          <w:sz w:val="22"/>
          <w:szCs w:val="22"/>
        </w:rPr>
      </w:pPr>
      <w:r w:rsidRPr="00EE4B5F">
        <w:rPr>
          <w:rFonts w:eastAsia="Calibri"/>
          <w:b/>
          <w:sz w:val="22"/>
          <w:szCs w:val="22"/>
        </w:rPr>
        <w:t>3.§</w:t>
      </w:r>
      <w:r w:rsidRPr="00EE4B5F">
        <w:rPr>
          <w:rFonts w:eastAsia="Calibri"/>
          <w:sz w:val="22"/>
          <w:szCs w:val="22"/>
        </w:rPr>
        <w:t xml:space="preserve"> A Rendelet a következő 18/A.§-</w:t>
      </w:r>
      <w:proofErr w:type="spellStart"/>
      <w:r w:rsidRPr="00EE4B5F">
        <w:rPr>
          <w:rFonts w:eastAsia="Calibri"/>
          <w:sz w:val="22"/>
          <w:szCs w:val="22"/>
        </w:rPr>
        <w:t>sal</w:t>
      </w:r>
      <w:proofErr w:type="spellEnd"/>
      <w:r w:rsidRPr="00EE4B5F">
        <w:rPr>
          <w:rFonts w:eastAsia="Calibri"/>
          <w:sz w:val="22"/>
          <w:szCs w:val="22"/>
        </w:rPr>
        <w:t xml:space="preserve"> egészül </w:t>
      </w:r>
      <w:proofErr w:type="spellStart"/>
      <w:r w:rsidRPr="00EE4B5F">
        <w:rPr>
          <w:rFonts w:eastAsia="Calibri"/>
          <w:sz w:val="22"/>
          <w:szCs w:val="22"/>
        </w:rPr>
        <w:t>egészül</w:t>
      </w:r>
      <w:proofErr w:type="spellEnd"/>
      <w:r w:rsidRPr="00EE4B5F">
        <w:rPr>
          <w:rFonts w:eastAsia="Calibri"/>
          <w:sz w:val="22"/>
          <w:szCs w:val="22"/>
        </w:rPr>
        <w:t xml:space="preserve"> ki:</w:t>
      </w:r>
    </w:p>
    <w:p w14:paraId="6E0D248D" w14:textId="77777777" w:rsidR="00D97262" w:rsidRPr="00EE4B5F" w:rsidRDefault="00D97262" w:rsidP="00D97262">
      <w:pPr>
        <w:autoSpaceDE w:val="0"/>
        <w:autoSpaceDN w:val="0"/>
        <w:adjustRightInd w:val="0"/>
        <w:spacing w:line="360" w:lineRule="auto"/>
        <w:rPr>
          <w:rFonts w:eastAsia="Calibri"/>
          <w:b/>
          <w:bCs/>
          <w:sz w:val="22"/>
          <w:szCs w:val="22"/>
        </w:rPr>
      </w:pPr>
      <w:r w:rsidRPr="00EE4B5F">
        <w:rPr>
          <w:rFonts w:eastAsia="Calibri"/>
          <w:b/>
          <w:sz w:val="22"/>
          <w:szCs w:val="22"/>
        </w:rPr>
        <w:t>18/A. §</w:t>
      </w:r>
      <w:r w:rsidRPr="00EE4B5F">
        <w:rPr>
          <w:rFonts w:eastAsia="Calibri"/>
          <w:sz w:val="22"/>
          <w:szCs w:val="22"/>
        </w:rPr>
        <w:t xml:space="preserve"> </w:t>
      </w:r>
      <w:r w:rsidRPr="00EE4B5F">
        <w:rPr>
          <w:rFonts w:eastAsia="Calibri"/>
          <w:b/>
          <w:bCs/>
          <w:sz w:val="22"/>
          <w:szCs w:val="22"/>
        </w:rPr>
        <w:t>Különleges beépítésre nem szánt terület (</w:t>
      </w:r>
      <w:proofErr w:type="spellStart"/>
      <w:r w:rsidRPr="00EE4B5F">
        <w:rPr>
          <w:rFonts w:eastAsia="Calibri"/>
          <w:b/>
          <w:bCs/>
          <w:sz w:val="22"/>
          <w:szCs w:val="22"/>
        </w:rPr>
        <w:t>Kk</w:t>
      </w:r>
      <w:proofErr w:type="spellEnd"/>
      <w:r w:rsidRPr="00EE4B5F">
        <w:rPr>
          <w:rFonts w:eastAsia="Calibri"/>
          <w:b/>
          <w:bCs/>
          <w:sz w:val="22"/>
          <w:szCs w:val="22"/>
        </w:rPr>
        <w:t>)</w:t>
      </w:r>
    </w:p>
    <w:p w14:paraId="094035F4" w14:textId="77777777" w:rsidR="00D97262" w:rsidRPr="00EE4B5F" w:rsidRDefault="00D97262" w:rsidP="00D97262">
      <w:pPr>
        <w:autoSpaceDE w:val="0"/>
        <w:autoSpaceDN w:val="0"/>
        <w:adjustRightInd w:val="0"/>
        <w:spacing w:line="360" w:lineRule="auto"/>
        <w:rPr>
          <w:rFonts w:eastAsia="Calibri"/>
          <w:sz w:val="22"/>
          <w:szCs w:val="22"/>
        </w:rPr>
      </w:pPr>
      <w:r w:rsidRPr="00EE4B5F">
        <w:rPr>
          <w:rFonts w:eastAsia="Calibri"/>
          <w:b/>
          <w:bCs/>
          <w:sz w:val="22"/>
          <w:szCs w:val="22"/>
        </w:rPr>
        <w:t xml:space="preserve"> </w:t>
      </w:r>
      <w:r w:rsidRPr="00EE4B5F">
        <w:rPr>
          <w:rFonts w:eastAsia="Calibri"/>
          <w:sz w:val="22"/>
          <w:szCs w:val="22"/>
        </w:rPr>
        <w:t xml:space="preserve">(1) A </w:t>
      </w:r>
      <w:proofErr w:type="spellStart"/>
      <w:r w:rsidRPr="00EE4B5F">
        <w:rPr>
          <w:rFonts w:eastAsia="Calibri"/>
          <w:b/>
          <w:bCs/>
          <w:sz w:val="22"/>
          <w:szCs w:val="22"/>
        </w:rPr>
        <w:t>Kk-</w:t>
      </w:r>
      <w:proofErr w:type="gramStart"/>
      <w:r w:rsidRPr="00EE4B5F">
        <w:rPr>
          <w:rFonts w:eastAsia="Calibri"/>
          <w:b/>
          <w:bCs/>
          <w:sz w:val="22"/>
          <w:szCs w:val="22"/>
        </w:rPr>
        <w:t>Id</w:t>
      </w:r>
      <w:proofErr w:type="spellEnd"/>
      <w:r w:rsidRPr="00EE4B5F">
        <w:rPr>
          <w:rFonts w:eastAsia="Calibri"/>
          <w:b/>
          <w:bCs/>
          <w:sz w:val="22"/>
          <w:szCs w:val="22"/>
        </w:rPr>
        <w:t xml:space="preserve">  </w:t>
      </w:r>
      <w:r w:rsidRPr="00EE4B5F">
        <w:rPr>
          <w:rFonts w:eastAsia="Calibri"/>
          <w:sz w:val="22"/>
          <w:szCs w:val="22"/>
        </w:rPr>
        <w:t>jelű</w:t>
      </w:r>
      <w:proofErr w:type="gramEnd"/>
      <w:r w:rsidRPr="00EE4B5F">
        <w:rPr>
          <w:rFonts w:eastAsia="Calibri"/>
          <w:sz w:val="22"/>
          <w:szCs w:val="22"/>
        </w:rPr>
        <w:t xml:space="preserve"> övezet: idegenforgalmi célú terület övezete.</w:t>
      </w:r>
    </w:p>
    <w:p w14:paraId="7F628783" w14:textId="77777777" w:rsidR="00D97262" w:rsidRPr="00EE4B5F" w:rsidRDefault="00D97262" w:rsidP="00D97262">
      <w:pPr>
        <w:autoSpaceDE w:val="0"/>
        <w:autoSpaceDN w:val="0"/>
        <w:adjustRightInd w:val="0"/>
        <w:ind w:left="284"/>
        <w:rPr>
          <w:rFonts w:eastAsia="Calibri"/>
          <w:sz w:val="22"/>
          <w:szCs w:val="22"/>
        </w:rPr>
      </w:pPr>
      <w:r w:rsidRPr="00EE4B5F">
        <w:rPr>
          <w:rFonts w:eastAsia="Calibri"/>
          <w:sz w:val="22"/>
          <w:szCs w:val="22"/>
        </w:rPr>
        <w:t>a) Az övezetben vízi sportlétesítmények, illetve azokat kiszolgáló épületek</w:t>
      </w:r>
    </w:p>
    <w:p w14:paraId="01F59D70" w14:textId="77777777" w:rsidR="00D97262" w:rsidRPr="00EE4B5F" w:rsidRDefault="00D97262" w:rsidP="00D97262">
      <w:pPr>
        <w:autoSpaceDE w:val="0"/>
        <w:autoSpaceDN w:val="0"/>
        <w:adjustRightInd w:val="0"/>
        <w:ind w:left="284"/>
        <w:rPr>
          <w:rFonts w:eastAsia="Calibri"/>
          <w:sz w:val="22"/>
          <w:szCs w:val="22"/>
        </w:rPr>
      </w:pPr>
      <w:r w:rsidRPr="00EE4B5F">
        <w:rPr>
          <w:rFonts w:eastAsia="Calibri"/>
          <w:sz w:val="22"/>
          <w:szCs w:val="22"/>
        </w:rPr>
        <w:t xml:space="preserve">    (klubház, vendégház, raktár, műhely) és építmények helyezhetők el.</w:t>
      </w:r>
    </w:p>
    <w:p w14:paraId="46A57414" w14:textId="77777777" w:rsidR="00D97262" w:rsidRPr="00EE4B5F" w:rsidRDefault="00D97262" w:rsidP="00D97262">
      <w:pPr>
        <w:autoSpaceDE w:val="0"/>
        <w:autoSpaceDN w:val="0"/>
        <w:adjustRightInd w:val="0"/>
        <w:spacing w:before="60"/>
        <w:ind w:left="284"/>
        <w:rPr>
          <w:rFonts w:eastAsia="Calibri"/>
          <w:sz w:val="22"/>
          <w:szCs w:val="22"/>
        </w:rPr>
      </w:pPr>
      <w:r w:rsidRPr="00EE4B5F">
        <w:rPr>
          <w:rFonts w:eastAsia="Calibri"/>
          <w:sz w:val="22"/>
          <w:szCs w:val="22"/>
        </w:rPr>
        <w:t>b) Az övezet területén legalább 5000 m</w:t>
      </w:r>
      <w:proofErr w:type="gramStart"/>
      <w:r w:rsidRPr="00EE4B5F">
        <w:rPr>
          <w:rFonts w:eastAsia="Calibri"/>
          <w:sz w:val="22"/>
          <w:szCs w:val="22"/>
          <w:vertAlign w:val="superscript"/>
        </w:rPr>
        <w:t>2</w:t>
      </w:r>
      <w:r w:rsidRPr="00EE4B5F">
        <w:rPr>
          <w:rFonts w:eastAsia="Calibri"/>
          <w:sz w:val="22"/>
          <w:szCs w:val="22"/>
        </w:rPr>
        <w:t xml:space="preserve">  területű</w:t>
      </w:r>
      <w:proofErr w:type="gramEnd"/>
      <w:r w:rsidRPr="00EE4B5F">
        <w:rPr>
          <w:rFonts w:eastAsia="Calibri"/>
          <w:sz w:val="22"/>
          <w:szCs w:val="22"/>
        </w:rPr>
        <w:t xml:space="preserve"> telek alakítható ki.</w:t>
      </w:r>
    </w:p>
    <w:p w14:paraId="54630B6B" w14:textId="77777777" w:rsidR="00D97262" w:rsidRPr="00EE4B5F" w:rsidRDefault="00D97262" w:rsidP="00D97262">
      <w:pPr>
        <w:autoSpaceDE w:val="0"/>
        <w:autoSpaceDN w:val="0"/>
        <w:adjustRightInd w:val="0"/>
        <w:spacing w:before="60"/>
        <w:ind w:left="284"/>
        <w:rPr>
          <w:rFonts w:eastAsia="Calibri"/>
          <w:sz w:val="22"/>
          <w:szCs w:val="22"/>
        </w:rPr>
      </w:pPr>
      <w:r w:rsidRPr="00EE4B5F">
        <w:rPr>
          <w:rFonts w:eastAsia="Calibri"/>
          <w:sz w:val="22"/>
          <w:szCs w:val="22"/>
        </w:rPr>
        <w:t>c) A beépítettség legfeljebb 8 % lehet.</w:t>
      </w:r>
    </w:p>
    <w:p w14:paraId="76B9E4C7" w14:textId="77777777" w:rsidR="00D97262" w:rsidRPr="00EE4B5F" w:rsidRDefault="00D97262" w:rsidP="00D97262">
      <w:pPr>
        <w:spacing w:before="60"/>
        <w:ind w:left="284"/>
        <w:jc w:val="both"/>
        <w:rPr>
          <w:rFonts w:eastAsia="Calibri"/>
          <w:sz w:val="22"/>
          <w:szCs w:val="22"/>
        </w:rPr>
      </w:pPr>
      <w:r w:rsidRPr="00EE4B5F">
        <w:rPr>
          <w:rFonts w:eastAsia="Calibri"/>
          <w:sz w:val="22"/>
          <w:szCs w:val="22"/>
        </w:rPr>
        <w:t>d) A telek legalább 75 %-át zöldfelületként kell kialakítani.</w:t>
      </w:r>
    </w:p>
    <w:p w14:paraId="548AAF7C" w14:textId="77777777" w:rsidR="00D97262" w:rsidRPr="00EE4B5F" w:rsidRDefault="00D97262" w:rsidP="00D97262">
      <w:pPr>
        <w:autoSpaceDE w:val="0"/>
        <w:autoSpaceDN w:val="0"/>
        <w:adjustRightInd w:val="0"/>
        <w:spacing w:before="60"/>
        <w:ind w:left="284"/>
        <w:rPr>
          <w:rFonts w:eastAsia="Calibri"/>
          <w:sz w:val="22"/>
          <w:szCs w:val="22"/>
        </w:rPr>
      </w:pPr>
      <w:r w:rsidRPr="00EE4B5F">
        <w:rPr>
          <w:rFonts w:eastAsia="Calibri"/>
          <w:sz w:val="22"/>
          <w:szCs w:val="22"/>
        </w:rPr>
        <w:t xml:space="preserve">e) Az épületmagasság legfeljebb 5,5 m lehet. Az épületeket </w:t>
      </w:r>
      <w:proofErr w:type="spellStart"/>
      <w:r w:rsidRPr="00EE4B5F">
        <w:rPr>
          <w:rFonts w:eastAsia="Calibri"/>
          <w:sz w:val="22"/>
          <w:szCs w:val="22"/>
        </w:rPr>
        <w:t>szabadonállóan</w:t>
      </w:r>
      <w:proofErr w:type="spellEnd"/>
      <w:r w:rsidRPr="00EE4B5F">
        <w:rPr>
          <w:rFonts w:eastAsia="Calibri"/>
          <w:sz w:val="22"/>
          <w:szCs w:val="22"/>
        </w:rPr>
        <w:t xml:space="preserve"> kell</w:t>
      </w:r>
    </w:p>
    <w:p w14:paraId="677B185D" w14:textId="77777777" w:rsidR="00D97262" w:rsidRPr="00EE4B5F" w:rsidRDefault="00D97262" w:rsidP="00D97262">
      <w:pPr>
        <w:autoSpaceDE w:val="0"/>
        <w:autoSpaceDN w:val="0"/>
        <w:adjustRightInd w:val="0"/>
        <w:spacing w:before="60"/>
        <w:ind w:left="284"/>
        <w:rPr>
          <w:rFonts w:eastAsia="Calibri"/>
          <w:sz w:val="22"/>
          <w:szCs w:val="22"/>
        </w:rPr>
      </w:pPr>
      <w:r w:rsidRPr="00EE4B5F">
        <w:rPr>
          <w:rFonts w:eastAsia="Calibri"/>
          <w:sz w:val="22"/>
          <w:szCs w:val="22"/>
        </w:rPr>
        <w:t>elhelyezni.</w:t>
      </w:r>
    </w:p>
    <w:p w14:paraId="78628C56" w14:textId="77777777" w:rsidR="00D97262" w:rsidRPr="00EE4B5F" w:rsidRDefault="00D97262" w:rsidP="00D97262">
      <w:pPr>
        <w:spacing w:before="120"/>
        <w:ind w:left="567" w:hanging="567"/>
        <w:jc w:val="both"/>
        <w:rPr>
          <w:rFonts w:eastAsia="Calibri"/>
          <w:sz w:val="22"/>
          <w:szCs w:val="22"/>
        </w:rPr>
      </w:pPr>
      <w:r w:rsidRPr="00EE4B5F">
        <w:rPr>
          <w:rFonts w:eastAsia="Calibri"/>
          <w:b/>
          <w:sz w:val="22"/>
          <w:szCs w:val="22"/>
        </w:rPr>
        <w:t xml:space="preserve">4. § </w:t>
      </w:r>
      <w:r w:rsidRPr="00EE4B5F">
        <w:rPr>
          <w:rFonts w:eastAsia="Calibri"/>
          <w:sz w:val="22"/>
          <w:szCs w:val="22"/>
        </w:rPr>
        <w:t>A Rendelet mellékletét képező 7/a jelű, belterületi szabályozási tervlapon a jelen rendelet 1. számú mellékletben szereplő módosítással érintett terület helyébe az SZT-mód. jelű tervlap előírásai kerülnek.</w:t>
      </w:r>
    </w:p>
    <w:p w14:paraId="77AEB64D" w14:textId="77777777" w:rsidR="00D97262" w:rsidRPr="00EE4B5F" w:rsidRDefault="00D97262" w:rsidP="00D97262">
      <w:pPr>
        <w:jc w:val="both"/>
        <w:rPr>
          <w:rFonts w:eastAsia="Calibri"/>
          <w:sz w:val="22"/>
          <w:szCs w:val="22"/>
        </w:rPr>
      </w:pPr>
    </w:p>
    <w:p w14:paraId="049499F1" w14:textId="77777777" w:rsidR="00D97262" w:rsidRPr="00EE4B5F" w:rsidRDefault="00D97262" w:rsidP="00D97262">
      <w:pPr>
        <w:rPr>
          <w:rFonts w:eastAsia="Calibri"/>
          <w:sz w:val="22"/>
          <w:szCs w:val="22"/>
        </w:rPr>
      </w:pPr>
      <w:r w:rsidRPr="00EE4B5F">
        <w:rPr>
          <w:rFonts w:eastAsia="Calibri"/>
          <w:b/>
          <w:sz w:val="22"/>
          <w:szCs w:val="22"/>
        </w:rPr>
        <w:t xml:space="preserve">5. § </w:t>
      </w:r>
      <w:r w:rsidRPr="00EE4B5F">
        <w:rPr>
          <w:rFonts w:eastAsia="Calibri"/>
          <w:sz w:val="22"/>
          <w:szCs w:val="22"/>
        </w:rPr>
        <w:t xml:space="preserve">Záró rendelkezés: E rendelet a </w:t>
      </w:r>
      <w:r>
        <w:rPr>
          <w:rFonts w:eastAsia="Calibri"/>
          <w:sz w:val="22"/>
          <w:szCs w:val="22"/>
        </w:rPr>
        <w:t>kihirdetését</w:t>
      </w:r>
      <w:r w:rsidRPr="00EE4B5F">
        <w:rPr>
          <w:rFonts w:eastAsia="Calibri"/>
          <w:sz w:val="22"/>
          <w:szCs w:val="22"/>
        </w:rPr>
        <w:t xml:space="preserve"> követő napon lép hatályba. </w:t>
      </w:r>
    </w:p>
    <w:p w14:paraId="53E270AA" w14:textId="77777777" w:rsidR="00D97262" w:rsidRPr="00EE4B5F" w:rsidRDefault="00D97262" w:rsidP="00D97262">
      <w:pPr>
        <w:tabs>
          <w:tab w:val="left" w:pos="0"/>
          <w:tab w:val="left" w:pos="567"/>
          <w:tab w:val="left" w:pos="720"/>
        </w:tabs>
        <w:suppressAutoHyphens/>
        <w:spacing w:before="60"/>
        <w:rPr>
          <w:rFonts w:eastAsia="Calibri"/>
          <w:sz w:val="22"/>
          <w:szCs w:val="22"/>
        </w:rPr>
      </w:pPr>
    </w:p>
    <w:p w14:paraId="310919DA" w14:textId="77777777" w:rsidR="00D97262" w:rsidRPr="00EE4B5F" w:rsidRDefault="00D97262" w:rsidP="00D97262">
      <w:pPr>
        <w:tabs>
          <w:tab w:val="left" w:pos="0"/>
          <w:tab w:val="left" w:pos="567"/>
          <w:tab w:val="left" w:pos="720"/>
        </w:tabs>
        <w:suppressAutoHyphens/>
        <w:spacing w:before="60"/>
        <w:rPr>
          <w:rFonts w:eastAsia="Calibri"/>
          <w:sz w:val="22"/>
          <w:szCs w:val="22"/>
        </w:rPr>
      </w:pPr>
    </w:p>
    <w:p w14:paraId="45318FD8" w14:textId="77777777" w:rsidR="00D97262" w:rsidRPr="00EE4B5F" w:rsidRDefault="00D97262" w:rsidP="00D97262">
      <w:pPr>
        <w:outlineLvl w:val="0"/>
        <w:rPr>
          <w:rFonts w:eastAsia="Calibri"/>
          <w:sz w:val="22"/>
          <w:szCs w:val="22"/>
        </w:rPr>
      </w:pPr>
    </w:p>
    <w:p w14:paraId="19682E88" w14:textId="77777777" w:rsidR="00D97262" w:rsidRPr="00EE4B5F" w:rsidRDefault="00D97262" w:rsidP="00D97262">
      <w:pPr>
        <w:outlineLvl w:val="0"/>
        <w:rPr>
          <w:rFonts w:eastAsia="Calibri"/>
          <w:sz w:val="22"/>
          <w:szCs w:val="22"/>
        </w:rPr>
      </w:pPr>
    </w:p>
    <w:p w14:paraId="4CCDE1CF" w14:textId="77777777" w:rsidR="00D97262" w:rsidRPr="00EE4B5F" w:rsidRDefault="00D97262" w:rsidP="00D97262">
      <w:pPr>
        <w:outlineLvl w:val="0"/>
        <w:rPr>
          <w:rFonts w:eastAsia="Calibri"/>
          <w:sz w:val="22"/>
          <w:szCs w:val="22"/>
        </w:rPr>
      </w:pPr>
    </w:p>
    <w:p w14:paraId="115CAA34" w14:textId="77777777" w:rsidR="00D97262" w:rsidRPr="00EE4B5F" w:rsidRDefault="00D97262" w:rsidP="00D97262">
      <w:pPr>
        <w:outlineLvl w:val="0"/>
        <w:rPr>
          <w:rFonts w:eastAsia="Calibri"/>
          <w:sz w:val="22"/>
          <w:szCs w:val="22"/>
        </w:rPr>
      </w:pPr>
    </w:p>
    <w:p w14:paraId="2AFA44DD" w14:textId="77777777" w:rsidR="00D97262" w:rsidRPr="00EE4B5F" w:rsidRDefault="00D97262" w:rsidP="00D97262">
      <w:pPr>
        <w:outlineLvl w:val="0"/>
        <w:rPr>
          <w:rFonts w:eastAsia="Calibri"/>
          <w:b/>
          <w:sz w:val="22"/>
          <w:szCs w:val="22"/>
        </w:rPr>
      </w:pPr>
      <w:r>
        <w:rPr>
          <w:rFonts w:eastAsia="Calibri"/>
          <w:b/>
          <w:sz w:val="22"/>
          <w:szCs w:val="22"/>
        </w:rPr>
        <w:tab/>
      </w:r>
      <w:r>
        <w:rPr>
          <w:rFonts w:eastAsia="Calibri"/>
          <w:b/>
          <w:sz w:val="22"/>
          <w:szCs w:val="22"/>
        </w:rPr>
        <w:tab/>
        <w:t>Schantzl Edit</w:t>
      </w:r>
      <w:r>
        <w:rPr>
          <w:rFonts w:eastAsia="Calibri"/>
          <w:b/>
          <w:sz w:val="22"/>
          <w:szCs w:val="22"/>
        </w:rPr>
        <w:tab/>
      </w:r>
      <w:r>
        <w:rPr>
          <w:rFonts w:eastAsia="Calibri"/>
          <w:b/>
          <w:sz w:val="22"/>
          <w:szCs w:val="22"/>
        </w:rPr>
        <w:tab/>
      </w:r>
      <w:r>
        <w:rPr>
          <w:rFonts w:eastAsia="Calibri"/>
          <w:b/>
          <w:sz w:val="22"/>
          <w:szCs w:val="22"/>
        </w:rPr>
        <w:tab/>
      </w:r>
      <w:r>
        <w:rPr>
          <w:rFonts w:eastAsia="Calibri"/>
          <w:b/>
          <w:sz w:val="22"/>
          <w:szCs w:val="22"/>
        </w:rPr>
        <w:tab/>
      </w:r>
      <w:r>
        <w:rPr>
          <w:rFonts w:eastAsia="Calibri"/>
          <w:b/>
          <w:sz w:val="22"/>
          <w:szCs w:val="22"/>
        </w:rPr>
        <w:tab/>
      </w:r>
      <w:r>
        <w:rPr>
          <w:rFonts w:eastAsia="Calibri"/>
          <w:b/>
          <w:sz w:val="22"/>
          <w:szCs w:val="22"/>
        </w:rPr>
        <w:tab/>
        <w:t xml:space="preserve">   Teller Péter</w:t>
      </w:r>
    </w:p>
    <w:p w14:paraId="5E30A00F" w14:textId="77777777" w:rsidR="00D97262" w:rsidRDefault="00D97262" w:rsidP="00D97262">
      <w:pPr>
        <w:tabs>
          <w:tab w:val="center" w:pos="1985"/>
          <w:tab w:val="center" w:pos="7088"/>
        </w:tabs>
        <w:rPr>
          <w:rFonts w:eastAsia="Calibri"/>
          <w:sz w:val="22"/>
          <w:szCs w:val="22"/>
        </w:rPr>
      </w:pPr>
      <w:r w:rsidRPr="00EE4B5F">
        <w:rPr>
          <w:rFonts w:eastAsia="Calibri"/>
          <w:sz w:val="22"/>
          <w:szCs w:val="22"/>
        </w:rPr>
        <w:tab/>
      </w:r>
      <w:r>
        <w:rPr>
          <w:rFonts w:eastAsia="Calibri"/>
          <w:sz w:val="22"/>
          <w:szCs w:val="22"/>
        </w:rPr>
        <w:t>jegyző</w:t>
      </w:r>
      <w:r>
        <w:rPr>
          <w:rFonts w:eastAsia="Calibri"/>
          <w:sz w:val="22"/>
          <w:szCs w:val="22"/>
        </w:rPr>
        <w:tab/>
        <w:t xml:space="preserve">polgármester </w:t>
      </w:r>
    </w:p>
    <w:p w14:paraId="0A794E1F" w14:textId="77777777" w:rsidR="00D97262" w:rsidRDefault="00D97262" w:rsidP="00D97262">
      <w:pPr>
        <w:tabs>
          <w:tab w:val="center" w:pos="1985"/>
          <w:tab w:val="center" w:pos="7088"/>
        </w:tabs>
        <w:rPr>
          <w:rFonts w:eastAsia="Calibri"/>
          <w:sz w:val="22"/>
          <w:szCs w:val="22"/>
        </w:rPr>
      </w:pPr>
    </w:p>
    <w:p w14:paraId="6AB6B99A" w14:textId="77777777" w:rsidR="00D97262" w:rsidRDefault="00D97262" w:rsidP="00D97262">
      <w:pPr>
        <w:tabs>
          <w:tab w:val="center" w:pos="1985"/>
          <w:tab w:val="center" w:pos="7088"/>
        </w:tabs>
        <w:rPr>
          <w:rFonts w:eastAsia="Calibri"/>
          <w:sz w:val="22"/>
          <w:szCs w:val="22"/>
        </w:rPr>
      </w:pPr>
    </w:p>
    <w:p w14:paraId="7EFB2794" w14:textId="77777777" w:rsidR="00D97262" w:rsidRDefault="00D97262" w:rsidP="00D97262">
      <w:pPr>
        <w:tabs>
          <w:tab w:val="center" w:pos="1985"/>
          <w:tab w:val="center" w:pos="7088"/>
        </w:tabs>
        <w:rPr>
          <w:rFonts w:eastAsia="Calibri"/>
          <w:sz w:val="22"/>
          <w:szCs w:val="22"/>
        </w:rPr>
      </w:pPr>
    </w:p>
    <w:p w14:paraId="042A426B" w14:textId="77777777" w:rsidR="00D97262" w:rsidRDefault="00D97262" w:rsidP="00D97262">
      <w:pPr>
        <w:tabs>
          <w:tab w:val="center" w:pos="1985"/>
          <w:tab w:val="center" w:pos="7088"/>
        </w:tabs>
        <w:rPr>
          <w:rFonts w:eastAsia="Calibri"/>
          <w:sz w:val="22"/>
          <w:szCs w:val="22"/>
        </w:rPr>
      </w:pPr>
      <w:r>
        <w:rPr>
          <w:rFonts w:eastAsia="Calibri"/>
          <w:sz w:val="22"/>
          <w:szCs w:val="22"/>
        </w:rPr>
        <w:t>A rendeletet kihirdettem:</w:t>
      </w:r>
    </w:p>
    <w:p w14:paraId="6442BAD7" w14:textId="77777777" w:rsidR="00D97262" w:rsidRDefault="00D97262" w:rsidP="00D97262">
      <w:pPr>
        <w:tabs>
          <w:tab w:val="center" w:pos="1985"/>
          <w:tab w:val="center" w:pos="7088"/>
        </w:tabs>
        <w:rPr>
          <w:rFonts w:eastAsia="Calibri"/>
          <w:sz w:val="22"/>
          <w:szCs w:val="22"/>
        </w:rPr>
      </w:pPr>
    </w:p>
    <w:p w14:paraId="6F06BE3E" w14:textId="77777777" w:rsidR="00D97262" w:rsidRDefault="00D97262" w:rsidP="00D97262">
      <w:pPr>
        <w:tabs>
          <w:tab w:val="center" w:pos="1985"/>
          <w:tab w:val="center" w:pos="7088"/>
        </w:tabs>
        <w:rPr>
          <w:rFonts w:eastAsia="Calibri"/>
          <w:sz w:val="22"/>
          <w:szCs w:val="22"/>
        </w:rPr>
      </w:pPr>
    </w:p>
    <w:p w14:paraId="70BD3F31" w14:textId="77777777" w:rsidR="00D97262" w:rsidRDefault="00D97262" w:rsidP="00D97262">
      <w:pPr>
        <w:tabs>
          <w:tab w:val="center" w:pos="1985"/>
          <w:tab w:val="center" w:pos="7088"/>
        </w:tabs>
        <w:rPr>
          <w:rFonts w:eastAsia="Calibri"/>
          <w:sz w:val="22"/>
          <w:szCs w:val="22"/>
        </w:rPr>
      </w:pPr>
      <w:r>
        <w:rPr>
          <w:rFonts w:eastAsia="Calibri"/>
          <w:sz w:val="22"/>
          <w:szCs w:val="22"/>
        </w:rPr>
        <w:t xml:space="preserve">Schantzl Edit </w:t>
      </w:r>
    </w:p>
    <w:p w14:paraId="272E1F95" w14:textId="77777777" w:rsidR="00D97262" w:rsidRPr="00EE4B5F" w:rsidRDefault="00D97262" w:rsidP="00D97262">
      <w:pPr>
        <w:tabs>
          <w:tab w:val="center" w:pos="1985"/>
          <w:tab w:val="center" w:pos="7088"/>
        </w:tabs>
        <w:rPr>
          <w:rFonts w:eastAsia="Calibri"/>
          <w:sz w:val="22"/>
          <w:szCs w:val="22"/>
        </w:rPr>
      </w:pPr>
      <w:r>
        <w:rPr>
          <w:rFonts w:eastAsia="Calibri"/>
          <w:sz w:val="22"/>
          <w:szCs w:val="22"/>
        </w:rPr>
        <w:t>jegyző</w:t>
      </w:r>
    </w:p>
    <w:p w14:paraId="2F7E5672" w14:textId="77777777" w:rsidR="00D97262" w:rsidRPr="00EE4B5F" w:rsidRDefault="00D97262" w:rsidP="00D97262">
      <w:pPr>
        <w:rPr>
          <w:rFonts w:eastAsia="Calibri"/>
          <w:sz w:val="22"/>
          <w:szCs w:val="22"/>
        </w:rPr>
      </w:pPr>
    </w:p>
    <w:p w14:paraId="4C4E689A" w14:textId="77777777" w:rsidR="00AA6493" w:rsidRDefault="00AA6493"/>
    <w:sectPr w:rsidR="00AA64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262"/>
    <w:rsid w:val="00991CE2"/>
    <w:rsid w:val="00AA6493"/>
    <w:rsid w:val="00B734AD"/>
    <w:rsid w:val="00D9726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11E7F"/>
  <w15:chartTrackingRefBased/>
  <w15:docId w15:val="{A7FA2486-D341-4C8A-A881-4F6DF62E5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97262"/>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f0agj">
    <w:name w:val="cf0 agj"/>
    <w:basedOn w:val="Norml"/>
    <w:rsid w:val="00D9726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4962</Characters>
  <Application>Microsoft Office Word</Application>
  <DocSecurity>0</DocSecurity>
  <Lines>41</Lines>
  <Paragraphs>11</Paragraphs>
  <ScaleCrop>false</ScaleCrop>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Schantzl Edit</dc:creator>
  <cp:keywords/>
  <dc:description/>
  <cp:lastModifiedBy>Szilvi Juhászné</cp:lastModifiedBy>
  <cp:revision>2</cp:revision>
  <dcterms:created xsi:type="dcterms:W3CDTF">2020-12-02T09:23:00Z</dcterms:created>
  <dcterms:modified xsi:type="dcterms:W3CDTF">2020-12-02T09:23:00Z</dcterms:modified>
</cp:coreProperties>
</file>