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BD" w:rsidRPr="00F353BD" w:rsidRDefault="00F353BD" w:rsidP="00F353BD">
      <w:pPr>
        <w:ind w:left="0" w:firstLine="0"/>
        <w:jc w:val="right"/>
        <w:rPr>
          <w:rFonts w:ascii="Cambria" w:eastAsia="Times New Roman" w:hAnsi="Cambria" w:cs="Times New Roman"/>
        </w:rPr>
      </w:pPr>
      <w:r w:rsidRPr="00F353BD">
        <w:rPr>
          <w:rFonts w:ascii="Cambria" w:eastAsia="Times New Roman" w:hAnsi="Cambria" w:cs="Times New Roman"/>
        </w:rPr>
        <w:t>1. számú melléklet a 17/2019. (X.24.) önkormányzati rendelethez</w:t>
      </w:r>
    </w:p>
    <w:p w:rsidR="00F353BD" w:rsidRPr="00F353BD" w:rsidRDefault="00F353BD" w:rsidP="00F353BD">
      <w:pPr>
        <w:ind w:left="0" w:firstLine="0"/>
        <w:jc w:val="center"/>
        <w:rPr>
          <w:rFonts w:ascii="Cambria" w:eastAsia="Times New Roman" w:hAnsi="Cambria" w:cs="Times New Roman"/>
          <w:b/>
        </w:rPr>
      </w:pPr>
    </w:p>
    <w:p w:rsidR="00F353BD" w:rsidRPr="00F353BD" w:rsidRDefault="00F353BD" w:rsidP="00F353BD">
      <w:pPr>
        <w:ind w:left="0" w:firstLine="0"/>
        <w:jc w:val="center"/>
        <w:rPr>
          <w:rFonts w:ascii="Cambria" w:eastAsia="Times New Roman" w:hAnsi="Cambria" w:cs="Times New Roman"/>
          <w:b/>
        </w:rPr>
      </w:pPr>
    </w:p>
    <w:p w:rsidR="00F353BD" w:rsidRPr="00F353BD" w:rsidRDefault="00F353BD" w:rsidP="00F353BD">
      <w:pPr>
        <w:autoSpaceDE w:val="0"/>
        <w:autoSpaceDN w:val="0"/>
        <w:adjustRightInd w:val="0"/>
        <w:ind w:left="0" w:firstLine="0"/>
        <w:jc w:val="center"/>
        <w:rPr>
          <w:rFonts w:ascii="Cambria" w:eastAsia="Times New Roman" w:hAnsi="Cambria" w:cs="Times New Roman"/>
          <w:b/>
          <w:bCs/>
        </w:rPr>
      </w:pPr>
      <w:r w:rsidRPr="00F353BD">
        <w:rPr>
          <w:rFonts w:ascii="Cambria" w:eastAsia="Times New Roman" w:hAnsi="Cambria" w:cs="Times New Roman"/>
          <w:b/>
          <w:bCs/>
        </w:rPr>
        <w:t>A polgármester képviselő-testülettől átruházott hatásköre</w:t>
      </w:r>
    </w:p>
    <w:p w:rsidR="00F353BD" w:rsidRPr="00F353BD" w:rsidRDefault="00F353BD" w:rsidP="00F353BD">
      <w:pPr>
        <w:autoSpaceDE w:val="0"/>
        <w:autoSpaceDN w:val="0"/>
        <w:adjustRightInd w:val="0"/>
        <w:ind w:left="0" w:firstLine="0"/>
        <w:jc w:val="center"/>
        <w:rPr>
          <w:rFonts w:ascii="Cambria" w:eastAsia="Times New Roman" w:hAnsi="Cambria" w:cs="Times New Roman"/>
          <w:b/>
          <w:bCs/>
        </w:rPr>
      </w:pPr>
    </w:p>
    <w:p w:rsidR="00F353BD" w:rsidRPr="00F353BD" w:rsidRDefault="00F353BD" w:rsidP="00F353BD">
      <w:pPr>
        <w:autoSpaceDE w:val="0"/>
        <w:autoSpaceDN w:val="0"/>
        <w:adjustRightInd w:val="0"/>
        <w:ind w:left="0" w:firstLine="0"/>
        <w:jc w:val="center"/>
        <w:rPr>
          <w:rFonts w:ascii="Cambria" w:eastAsia="Times New Roman" w:hAnsi="Cambria" w:cs="Times New Roman"/>
          <w:b/>
          <w:bCs/>
        </w:rPr>
      </w:pP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 xml:space="preserve">A jegyző beszámoltatása útján ellenőrzi az adóztatást (A helyi önkormányzatok és szerveik, a köztársasági megbízottak, valamint egyes centrális alárendeltségű állami szervek feladat és hatásköréről szóló 1991. évi XX. törvény (Továbbiakban: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(3)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g.) pont).</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Tájékoztatja a lakosságot a helyi adóból származó bevételek összegéről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(3)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h.) pont).</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Elemi kár mértékének megállapítására kárbecslő bizottságot hoz létre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(2)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e.) pont).</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Együttműködik a Fogyasztóvédelmi Felügyelőséggel, illetve Felügyelőségekkel és felkérheti őket vizsgálat lefolytatására.</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A képviselő-testület nevelési- intézmény megszüntetésével, átszervezésével, feladatának megváltoztatásával, nevének megállapításával, költségvetésének meghatározásával és módosításával, vezetőjének megbízásával és megbízásának visszavonásával összefüggő döntése előtt a polgármester beszerzi az intézmény alkalmazotti közösségének a véleményét.</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 xml:space="preserve">Dönt az óvodába történő jelentkezés módjáról, az óvodai általános felvételi időpontról, az óvoda heti és éves nyitvatartási idejének meghatározásáról, meghatározza az adott nevelési évben indítható óvodai csoportok számát (A nemzeti köznevelésről szóló 2011. évi CXC. törvény (Továbbiakban: </w:t>
      </w:r>
      <w:proofErr w:type="spellStart"/>
      <w:r w:rsidRPr="00F353BD">
        <w:rPr>
          <w:rFonts w:ascii="Cambria" w:eastAsia="Times New Roman" w:hAnsi="Cambria" w:cs="Times New Roman"/>
        </w:rPr>
        <w:t>Nkt</w:t>
      </w:r>
      <w:proofErr w:type="spellEnd"/>
      <w:r w:rsidRPr="00F353BD">
        <w:rPr>
          <w:rFonts w:ascii="Cambria" w:eastAsia="Times New Roman" w:hAnsi="Cambria" w:cs="Times New Roman"/>
        </w:rPr>
        <w:t>.) 83. § (2) b.) és d.) pont).</w:t>
      </w:r>
    </w:p>
    <w:p w:rsidR="00F353BD" w:rsidRPr="00F353BD" w:rsidRDefault="00F353BD" w:rsidP="00F353BD">
      <w:pPr>
        <w:numPr>
          <w:ilvl w:val="0"/>
          <w:numId w:val="1"/>
        </w:numPr>
        <w:autoSpaceDE w:val="0"/>
        <w:autoSpaceDN w:val="0"/>
        <w:adjustRightInd w:val="0"/>
        <w:ind w:hanging="567"/>
        <w:jc w:val="left"/>
        <w:rPr>
          <w:rFonts w:ascii="Cambria" w:eastAsia="Times New Roman" w:hAnsi="Cambria" w:cs="Times New Roman"/>
        </w:rPr>
      </w:pPr>
      <w:r w:rsidRPr="00F353BD">
        <w:rPr>
          <w:rFonts w:ascii="Cambria" w:eastAsia="Times New Roman" w:hAnsi="Cambria" w:cs="Times New Roman"/>
        </w:rPr>
        <w:t>A Polgármester feladata a nemzetközi partnerkapcsolatok szervezése, kezelése és az azzal kapcsolatos feladatok ellátása.</w:t>
      </w:r>
    </w:p>
    <w:p w:rsidR="00F353BD" w:rsidRPr="00F353BD" w:rsidRDefault="00F353BD" w:rsidP="00F353BD">
      <w:pPr>
        <w:spacing w:after="160" w:line="259" w:lineRule="auto"/>
        <w:ind w:left="0" w:firstLine="0"/>
        <w:jc w:val="left"/>
        <w:rPr>
          <w:rFonts w:ascii="Cambria" w:eastAsia="Times New Roman" w:hAnsi="Cambria" w:cs="Times New Roman"/>
        </w:rPr>
      </w:pPr>
      <w:r w:rsidRPr="00F353BD">
        <w:rPr>
          <w:rFonts w:ascii="Cambria" w:eastAsia="Times New Roman" w:hAnsi="Cambria" w:cs="Times New Roman"/>
        </w:rPr>
        <w:br w:type="page"/>
      </w:r>
    </w:p>
    <w:p w:rsidR="00F353BD" w:rsidRPr="00F353BD" w:rsidRDefault="00F353BD" w:rsidP="00F353BD">
      <w:pPr>
        <w:ind w:left="0" w:firstLine="0"/>
        <w:jc w:val="center"/>
        <w:rPr>
          <w:rFonts w:ascii="Cambria" w:eastAsia="Times New Roman" w:hAnsi="Cambria" w:cs="Times New Roman"/>
          <w:b/>
        </w:rPr>
      </w:pPr>
      <w:r w:rsidRPr="00F353BD">
        <w:rPr>
          <w:rFonts w:ascii="Cambria" w:eastAsia="Times New Roman" w:hAnsi="Cambria" w:cs="Times New Roman"/>
          <w:b/>
        </w:rPr>
        <w:lastRenderedPageBreak/>
        <w:t>Pénzügyi és Gazdaságfejlesztési Bizottság</w:t>
      </w:r>
    </w:p>
    <w:p w:rsidR="00F353BD" w:rsidRPr="00F353BD" w:rsidRDefault="00F353BD" w:rsidP="00F353BD">
      <w:pPr>
        <w:ind w:left="0" w:firstLine="0"/>
        <w:jc w:val="left"/>
        <w:rPr>
          <w:rFonts w:ascii="Cambria" w:eastAsia="Times New Roman" w:hAnsi="Cambria" w:cs="Times New Roman"/>
        </w:rPr>
      </w:pP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éves költségvetési javaslatot és a végrehajtásáról szóló féléves, éves beszámoló tervezeteit.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költségvetési bevételek alakulását, különös tekintettel a saját bevételekre, a vagyonváltozás (</w:t>
      </w:r>
      <w:proofErr w:type="gramStart"/>
      <w:r w:rsidRPr="00F353BD">
        <w:rPr>
          <w:rFonts w:ascii="Cambria" w:eastAsia="Times New Roman" w:hAnsi="Cambria" w:cs="Times New Roman"/>
        </w:rPr>
        <w:t>vagyon növekedés</w:t>
      </w:r>
      <w:proofErr w:type="gramEnd"/>
      <w:r w:rsidRPr="00F353BD">
        <w:rPr>
          <w:rFonts w:ascii="Cambria" w:eastAsia="Times New Roman" w:hAnsi="Cambria" w:cs="Times New Roman"/>
        </w:rPr>
        <w:t xml:space="preserve">, </w:t>
      </w:r>
      <w:proofErr w:type="spellStart"/>
      <w:r w:rsidRPr="00F353BD">
        <w:rPr>
          <w:rFonts w:ascii="Cambria" w:eastAsia="Times New Roman" w:hAnsi="Cambria" w:cs="Times New Roman"/>
        </w:rPr>
        <w:t>-csökkenés</w:t>
      </w:r>
      <w:proofErr w:type="spellEnd"/>
      <w:r w:rsidRPr="00F353BD">
        <w:rPr>
          <w:rFonts w:ascii="Cambria" w:eastAsia="Times New Roman" w:hAnsi="Cambria" w:cs="Times New Roman"/>
        </w:rPr>
        <w:t>) alakulását, értékeli az azt előidéző okokat.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Vizsgálja az adósságot keletkeztető kötelezettségvállalás indokait és gazdasági megalapozottságát, ellenőrizheti a pénzkezelési szabályzat megtartását, a bizonylati rend és a bizonylati fegyelem érvényesítését.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 a helyi adókkal kapcsolatos méltányossági kérelmek ügyében hozott határozatok ellen irányuló fellebbezésekben.</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Megállapítja az önkormányzati költségvetési szerv vállalkozási tartaléka felhasználásának szabályait.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gazdasági programját.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önkormányzatnál és intézményeinél a költségvetés végrehajtásáról szóló beszámolót, a normatív költségvetési hozzájárulásoknak az elszámolását.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proofErr w:type="gramStart"/>
      <w:r w:rsidRPr="00F353BD">
        <w:rPr>
          <w:rFonts w:ascii="Cambria" w:eastAsia="Times New Roman" w:hAnsi="Cambria" w:cs="Times New Roman"/>
        </w:rPr>
        <w:t>Véleményezi</w:t>
      </w:r>
      <w:proofErr w:type="gramEnd"/>
      <w:r w:rsidRPr="00F353BD">
        <w:rPr>
          <w:rFonts w:ascii="Cambria" w:eastAsia="Times New Roman" w:hAnsi="Cambria" w:cs="Times New Roman"/>
        </w:rPr>
        <w:t xml:space="preserve"> az átmenti gazdálkodásról szóló rendelet-tervezetet.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községszolgáltatást ellátó szervezetek támogatását.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költségvetési szerv állami feladatként ellátandó alaptevékenységére, annak módosítására, gazdálkodási jogkörére és az ellátható vállalkozási tevékenység körére és mértékére vonatkozó döntéstervezetet.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helyi adókra vonatkozó rendelet-tervezetet.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költségvetésben jóváhagyott előirányzatok közötti átcsoportosítást.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költségvetési bevételek alakulását, különös tekintettel a saját bevételekre, a vagyonváltozás (vagyonnövekedés, - csökkenés) alakulását, értékeli az azt előidéző okokat.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Vizsgálja a hitelfelvétel indokait és gazdasági megalapozottságát, ellenőrizheti a pénzkezelési szabályzat megtartását, a bizonylati rend és a bizonylati fegyelem érvényesítését. A pénzügyi bizottság vizsgálati megállapításait a képviselő-testülettel haladéktalanul közli. Ha a képviselő-testület a vizsgálati megállapításokkal nem ért egyet, a vizsgálati jegyzőkönyvet az észrevételeivel együtt megküldi az Állami Számvevőszéknek.</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 xml:space="preserve">Véleményezi az alapítványokkal, közérdekű kötelezettségvállalásokkal összefüggő önkormányzati ügyeket </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célhoz nem kötött forrásai betétként történő elhelyezését, az állami hozzájárulás kivételével.</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egyéb banki szolgáltatások igénybevételét.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önkormányzati intézménytámogatásban való részesítését.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 xml:space="preserve">Véleményezi az önkormányzat tulajdonában álló ingatlan és ingó dolog forgalomképtelennek és korlátozottan forgalomképesnek nyilvánítását. </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önkormányzati költségvetési szervek, illetve gazdasági társaságok alapítását, átszervezését és megszüntetését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(1)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f.) pont).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Közreműködik az önkormányzat által alapított és fenntartott költségvetési szervek ellenőrzésének tapasztalatainak áttekintésében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(1)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g.) pont).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lastRenderedPageBreak/>
        <w:t>Véleményezi az önkormányzati vagyonnal történő gazdálkodás szabályait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(1)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j.) pont).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tulajdonában levő lakások bérének megállapítását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(1)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n.) pont).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Közreműködik a beszedett adók összegéről szóló tájékoztató elkészítésében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xml:space="preserve">. 138. § (3) </w:t>
      </w:r>
      <w:proofErr w:type="spellStart"/>
      <w:r w:rsidRPr="00F353BD">
        <w:rPr>
          <w:rFonts w:ascii="Cambria" w:eastAsia="Times New Roman" w:hAnsi="Cambria" w:cs="Times New Roman"/>
        </w:rPr>
        <w:t>bek</w:t>
      </w:r>
      <w:proofErr w:type="spellEnd"/>
      <w:r w:rsidRPr="00F353BD">
        <w:rPr>
          <w:rFonts w:ascii="Cambria" w:eastAsia="Times New Roman" w:hAnsi="Cambria" w:cs="Times New Roman"/>
        </w:rPr>
        <w:t>. h.) pont).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Javaslatot tesz a kiemelkedő teljesítményt nyújtó személyek kitüntetésére.</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az önkormányzat, illetve intézményei által benyújtható pályázati lehetőségeket, és arról tájékoztatást nyújt a képviselő-testület, illetve a polgármester részére.</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által benyújtandó pályázatokat, közreműködik azok előkészítő folyamatában.</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pályázatok elkészítésének megfelelő szakmai színvonalát és a vonatkozó képviselő-testületi határozatok végrehajtását.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Közreműködik a nagyközség gazdaságfejlesztési erőforrásainak feltárásában, a fejlesztést előmozdító célok meghatározásában.</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 gazdaságfejlesztését érintő elemzéseket, tanulmányokat, szakértői véleményeket, tervezési programokat.</w:t>
      </w:r>
    </w:p>
    <w:p w:rsidR="00F353BD" w:rsidRPr="00F353BD" w:rsidRDefault="00F353BD" w:rsidP="00F353BD">
      <w:pPr>
        <w:numPr>
          <w:ilvl w:val="0"/>
          <w:numId w:val="4"/>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gazdaságfejlesztéssel összefüggő testületi határozatok végrehajtását, a programok megvalósítását.</w:t>
      </w:r>
    </w:p>
    <w:p w:rsidR="00F353BD" w:rsidRPr="00F353BD" w:rsidRDefault="00F353BD" w:rsidP="00F353BD">
      <w:pPr>
        <w:ind w:left="0" w:firstLine="0"/>
        <w:jc w:val="left"/>
        <w:rPr>
          <w:rFonts w:ascii="Cambria" w:eastAsia="Times New Roman" w:hAnsi="Cambria" w:cs="Times New Roman"/>
          <w:b/>
          <w:bCs/>
        </w:rPr>
      </w:pPr>
    </w:p>
    <w:p w:rsidR="00F353BD" w:rsidRPr="00F353BD" w:rsidRDefault="00F353BD" w:rsidP="00F353BD">
      <w:pPr>
        <w:autoSpaceDE w:val="0"/>
        <w:autoSpaceDN w:val="0"/>
        <w:adjustRightInd w:val="0"/>
        <w:ind w:hanging="567"/>
        <w:jc w:val="center"/>
        <w:rPr>
          <w:rFonts w:ascii="Cambria" w:eastAsia="Times New Roman" w:hAnsi="Cambria" w:cs="Times New Roman"/>
          <w:b/>
          <w:bCs/>
        </w:rPr>
      </w:pPr>
    </w:p>
    <w:p w:rsidR="00F353BD" w:rsidRPr="00F353BD" w:rsidRDefault="00F353BD" w:rsidP="00F353BD">
      <w:pPr>
        <w:autoSpaceDE w:val="0"/>
        <w:autoSpaceDN w:val="0"/>
        <w:adjustRightInd w:val="0"/>
        <w:ind w:hanging="567"/>
        <w:jc w:val="center"/>
        <w:rPr>
          <w:rFonts w:ascii="Cambria" w:eastAsia="Times New Roman" w:hAnsi="Cambria" w:cs="Times New Roman"/>
          <w:b/>
          <w:bCs/>
        </w:rPr>
      </w:pPr>
      <w:r w:rsidRPr="00F353BD">
        <w:rPr>
          <w:rFonts w:ascii="Cambria" w:eastAsia="Times New Roman" w:hAnsi="Cambria" w:cs="Times New Roman"/>
          <w:b/>
          <w:bCs/>
        </w:rPr>
        <w:t>Humán és Ügyrendi Bizottság</w:t>
      </w:r>
    </w:p>
    <w:p w:rsidR="00F353BD" w:rsidRPr="00F353BD" w:rsidRDefault="00F353BD" w:rsidP="00F353BD">
      <w:pPr>
        <w:autoSpaceDE w:val="0"/>
        <w:autoSpaceDN w:val="0"/>
        <w:adjustRightInd w:val="0"/>
        <w:ind w:hanging="567"/>
        <w:rPr>
          <w:rFonts w:ascii="Cambria" w:eastAsia="Times New Roman" w:hAnsi="Cambria" w:cs="Times New Roman"/>
        </w:rPr>
      </w:pP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oktatási, közművelődési és sport jellegű beruházások és felújítások indokoltságát, annak költségvetésbe való beépítését.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nevelési- oktatási intézmények foglalkozási, illetve pedagógiai programjában meghatározott feladatok végrehajtását, a pedagógiai szakmai munka eredményességét a törvényben meghatározottak alapján.</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óvodai neveléssel, oktatással kapcsolatos képviselő-testületi előterjesztést.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Szervezi és előkészíti a kulturális hagyományok és értékek ápolását. Segíti a művelődést, a társas életre szerveződő közösségek munkáját.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Segíti a lakosság művészeti kezdeményezéseinek, önszerveződésének munkáját, a művészi alkotó munka feltételeinek javítását és a művészeti értékek létrehozását, megőrzését.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Meghatározott szempontrendszer szerint véleményezi a környezet – kultúra igényesebb kialakítását érintő kérdéseket, figyelemmel kíséri a kulturális, közművelődési és művészeti tárgyú képviselőtestületi előterjesztéseket.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Segíti a helyi sportpolitikai célok megvalósítását, sportrendezvények szervezését. Figyelemmel kíséri a sportfeladatok célját szolgáló pénzeszközök felhasználását.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Közreműködik a sportkoncepció előkészítésében, figyelemmel kíséri annak megvalósulását, véleményezi a sporttal kapcsolatos egyesületek tevékenységét.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Kapcsolatot tart a tevékenységi körébe tartozó karitatív és civil szervezetekkel.</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pénzbeli és természetben nyújtott, valamint a személyes gondoskodást nyújtó ellátásra vonatkozó, a szociális ágazatot érintő rendelet-tervezetet.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Javaslatot tesz a szociális intézmény létesítésére, fejlesztésére, tevékenységi körének megváltoztatására, átszervezésére, megszüntetésére.</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lastRenderedPageBreak/>
        <w:t>Véleményezi az önkormányzat gazdasági programjának tervezetét.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költségvetéséről szóló rendelet-tervezetet és az ahhoz kapcsolódó egyéb rendelet-tervezetet.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szociális és egészségügyi jellegű beruházások és felújítások indokoltságát, annak költségvetésbe való beépítését.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szociális ellátást, az ágazatot érintő szerződés tervezeteket.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Segíti a gyógyító – megelőző ellátást.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közegészségügyi és járványügyi tevékenységet, a gyógyszerellátást.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Szervezi az egészséges életmódra nevelést, részt vesz egészség-megőrzési programok kidolgozásában.</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egészségügyi és szociális ágazatot érintő képviselő-testületi előterjesztéseket.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Javaslatot tesz a kiemelkedő teljesítményt nyújtó személyek kitüntetésére.</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Segíti a fiatalok önszerveződését.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 xml:space="preserve">Törvényességi szempontból véleményezi az önkormányzati rendelet tervezeteket, figyelemmel kíséri </w:t>
      </w:r>
      <w:proofErr w:type="spellStart"/>
      <w:r w:rsidRPr="00F353BD">
        <w:rPr>
          <w:rFonts w:ascii="Cambria" w:eastAsia="Times New Roman" w:hAnsi="Cambria" w:cs="Times New Roman"/>
        </w:rPr>
        <w:t>hatályosulásukat</w:t>
      </w:r>
      <w:proofErr w:type="spellEnd"/>
      <w:r w:rsidRPr="00F353BD">
        <w:rPr>
          <w:rFonts w:ascii="Cambria" w:eastAsia="Times New Roman" w:hAnsi="Cambria" w:cs="Times New Roman"/>
        </w:rPr>
        <w: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által kötendő 4 millió Ft feletti jogügyleteket.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Dönt a képviselő-testületi jegyzőkönyv kiigazításáról.</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Állást foglal ügyrendi kérdésekben.</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Elkészíti a szervezeti és működési szabályzatot, javaslatot tesz annak módosítására.</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Ellátja a titkos szavazás lebonyolításával kapcsolatos feladatokat.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Vizsgálja a képviselő-testület határozatainak végrehajtását.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Nyilvántartja, ellenőrzi és kezeli a polgármester és az önkormányzati képviselők vagyonnyilatkozatát.</w:t>
      </w:r>
    </w:p>
    <w:p w:rsidR="00F353BD" w:rsidRPr="00F353BD" w:rsidRDefault="00F353BD" w:rsidP="00F353BD">
      <w:pPr>
        <w:numPr>
          <w:ilvl w:val="0"/>
          <w:numId w:val="3"/>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Kivizsgálja és megállapítja az önkormányzati képviselő összeférhetetlenségét.</w:t>
      </w:r>
    </w:p>
    <w:p w:rsidR="00F353BD" w:rsidRPr="00F353BD" w:rsidRDefault="00F353BD" w:rsidP="00F353BD">
      <w:pPr>
        <w:ind w:left="0" w:firstLine="0"/>
        <w:jc w:val="left"/>
        <w:rPr>
          <w:rFonts w:ascii="Cambria" w:eastAsia="Times New Roman" w:hAnsi="Cambria" w:cs="Times New Roman"/>
        </w:rPr>
      </w:pPr>
    </w:p>
    <w:p w:rsidR="00F353BD" w:rsidRPr="00F353BD" w:rsidRDefault="00F353BD" w:rsidP="00F353BD">
      <w:pPr>
        <w:autoSpaceDE w:val="0"/>
        <w:autoSpaceDN w:val="0"/>
        <w:adjustRightInd w:val="0"/>
        <w:ind w:hanging="567"/>
        <w:jc w:val="center"/>
        <w:rPr>
          <w:rFonts w:ascii="Cambria" w:eastAsia="Times New Roman" w:hAnsi="Cambria" w:cs="Times New Roman"/>
          <w:b/>
          <w:bCs/>
        </w:rPr>
      </w:pPr>
    </w:p>
    <w:p w:rsidR="00F353BD" w:rsidRPr="00F353BD" w:rsidRDefault="00F353BD" w:rsidP="00F353BD">
      <w:pPr>
        <w:autoSpaceDE w:val="0"/>
        <w:autoSpaceDN w:val="0"/>
        <w:adjustRightInd w:val="0"/>
        <w:ind w:hanging="567"/>
        <w:jc w:val="center"/>
        <w:rPr>
          <w:rFonts w:ascii="Cambria" w:eastAsia="Times New Roman" w:hAnsi="Cambria" w:cs="Times New Roman"/>
          <w:b/>
          <w:bCs/>
        </w:rPr>
      </w:pPr>
      <w:r w:rsidRPr="00F353BD">
        <w:rPr>
          <w:rFonts w:ascii="Cambria" w:eastAsia="Times New Roman" w:hAnsi="Cambria" w:cs="Times New Roman"/>
          <w:b/>
        </w:rPr>
        <w:t xml:space="preserve">Településüzemeltetési és Fejlesztési </w:t>
      </w:r>
      <w:r w:rsidRPr="00F353BD">
        <w:rPr>
          <w:rFonts w:ascii="Cambria" w:eastAsia="Times New Roman" w:hAnsi="Cambria" w:cs="Times New Roman"/>
          <w:b/>
          <w:bCs/>
        </w:rPr>
        <w:t>Bizottság</w:t>
      </w:r>
    </w:p>
    <w:p w:rsidR="00F353BD" w:rsidRPr="00F353BD" w:rsidRDefault="00F353BD" w:rsidP="00F353BD">
      <w:pPr>
        <w:autoSpaceDE w:val="0"/>
        <w:autoSpaceDN w:val="0"/>
        <w:adjustRightInd w:val="0"/>
        <w:ind w:hanging="567"/>
        <w:jc w:val="center"/>
        <w:rPr>
          <w:rFonts w:ascii="Cambria" w:eastAsia="Times New Roman" w:hAnsi="Cambria" w:cs="Times New Roman"/>
          <w:b/>
          <w:bCs/>
        </w:rPr>
      </w:pP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A nagyközség természeti és épített környezetének, sajátos értékeinek védelme, ezek használata, fejlesztése és a kapcsolódó tervezési tevékenység meghatározása.</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A nagyközség fejlesztési erőforrásainak feltárása, a fejlesztést előmozdító célok meghatározása.</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községfejlesztést érintő megfigyeléseket, vizsgálatokat, elemzéseket, tanulmányokat, szakértői véleményeket, tervezési programokat.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Községfejlesztési szempontból véleményezi a művészeti alkotások közterületen, valamint önkormányzati tulajdonú épületen való elhelyezését, áthelyezését, lebontását.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a községfejlesztéssel, rendezéssel összefüggő testületi határozatok végrehajtását, a programok megvalósítását.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terület és településfejlesztési célokat szolgáló eszközök igénybevételéről és az ehhez kapcsolódó helyi faladatokról szóló döntések tervezetét.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 gazdasági programjának tervezetét, a költségvetési koncepciót, a költségvetési rendelet-tervezetet és az ahhoz kapcsolódó rendelettervezeteket.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lastRenderedPageBreak/>
        <w:t>Véleményezi az önkormányzati hitelfelvételt és kötvénykibocsátást.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helyi adóra vonatkozó rendelet-tervezetet.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önkormányzati vagyonnal való rendelkezést.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községfejlesztéssel, üzemeltetéssel összefüggő képviselőtestületi előterjesztést.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az igazgatási, kereskedelmi, lakásépítési, terület- előkészítési és közműberuházások, felújítások indokoltságát, a beruházási javaslatot és annak a költségvetés tervezetbe történő felvételét.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Kezdeményezi a községüzemeltetési rendszerek, művek és szolgáltatások, fejlesztési szükségleteivel, továbbá a fejlesztés megvalósításához szükséges tervezési, szervezési intézkedések megtételével kapcsolatos döntés előkészületeket.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községüzemeltetéssel kapcsolatos – fejlesztési, működtetési, környezetvédelmi – programok tervezetét.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 xml:space="preserve">Véleményezi a köztemető létesítésével, bővítésével, fenntartásával, bezárásával, kiürítésével, megszüntetésével, </w:t>
      </w:r>
      <w:proofErr w:type="spellStart"/>
      <w:r w:rsidRPr="00F353BD">
        <w:rPr>
          <w:rFonts w:ascii="Cambria" w:eastAsia="Times New Roman" w:hAnsi="Cambria" w:cs="Times New Roman"/>
        </w:rPr>
        <w:t>újrahasználatba</w:t>
      </w:r>
      <w:proofErr w:type="spellEnd"/>
      <w:r w:rsidRPr="00F353BD">
        <w:rPr>
          <w:rFonts w:ascii="Cambria" w:eastAsia="Times New Roman" w:hAnsi="Cambria" w:cs="Times New Roman"/>
        </w:rPr>
        <w:t xml:space="preserve"> vételével kapcsolatos képviselő-testületi előterjesztést (</w:t>
      </w:r>
      <w:proofErr w:type="spellStart"/>
      <w:r w:rsidRPr="00F353BD">
        <w:rPr>
          <w:rFonts w:ascii="Cambria" w:eastAsia="Times New Roman" w:hAnsi="Cambria" w:cs="Times New Roman"/>
        </w:rPr>
        <w:t>Htv</w:t>
      </w:r>
      <w:proofErr w:type="spellEnd"/>
      <w:r w:rsidRPr="00F353BD">
        <w:rPr>
          <w:rFonts w:ascii="Cambria" w:eastAsia="Times New Roman" w:hAnsi="Cambria" w:cs="Times New Roman"/>
        </w:rPr>
        <w:t>. 18. §).</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községüzemeltetési beruházások indokoltságát, a beruházási javaslatok költségvetésbe történő felvételét.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Véleményezi a közszolgáltatások ellátására vonatkozó megállapodások tervezetét.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Figyelemmel kíséri és véleményezi a település turisztikai és idegenforgalmi programjával kapcsolatos előterjesztéseket.</w:t>
      </w:r>
    </w:p>
    <w:p w:rsidR="00F353BD" w:rsidRPr="00F353BD" w:rsidRDefault="00F353BD" w:rsidP="00F353BD">
      <w:pPr>
        <w:numPr>
          <w:ilvl w:val="0"/>
          <w:numId w:val="2"/>
        </w:numPr>
        <w:autoSpaceDE w:val="0"/>
        <w:autoSpaceDN w:val="0"/>
        <w:adjustRightInd w:val="0"/>
        <w:contextualSpacing/>
        <w:jc w:val="left"/>
        <w:rPr>
          <w:rFonts w:ascii="Cambria" w:eastAsia="Times New Roman" w:hAnsi="Cambria" w:cs="Times New Roman"/>
        </w:rPr>
      </w:pPr>
      <w:r w:rsidRPr="00F353BD">
        <w:rPr>
          <w:rFonts w:ascii="Cambria" w:eastAsia="Times New Roman" w:hAnsi="Cambria" w:cs="Times New Roman"/>
        </w:rPr>
        <w:t>Javaslatot tesz a kiemelkedő teljesítményt nyújtó személyek kitüntetésére.</w:t>
      </w:r>
    </w:p>
    <w:p w:rsidR="00F353BD" w:rsidRPr="00F353BD" w:rsidRDefault="00F353BD" w:rsidP="00F353BD">
      <w:pPr>
        <w:ind w:left="0" w:firstLine="0"/>
        <w:jc w:val="left"/>
        <w:rPr>
          <w:rFonts w:ascii="Cambria" w:eastAsia="Times New Roman" w:hAnsi="Cambria" w:cs="Times New Roman"/>
        </w:rPr>
      </w:pPr>
    </w:p>
    <w:p w:rsidR="003457E1" w:rsidRDefault="00F353BD">
      <w:bookmarkStart w:id="0" w:name="_GoBack"/>
      <w:bookmarkEnd w:id="0"/>
    </w:p>
    <w:sectPr w:rsidR="00345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BBF"/>
    <w:multiLevelType w:val="hybridMultilevel"/>
    <w:tmpl w:val="993ADBD8"/>
    <w:lvl w:ilvl="0" w:tplc="5352E8F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2A0D7F21"/>
    <w:multiLevelType w:val="hybridMultilevel"/>
    <w:tmpl w:val="820EDFD4"/>
    <w:lvl w:ilvl="0" w:tplc="148A695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31E96721"/>
    <w:multiLevelType w:val="hybridMultilevel"/>
    <w:tmpl w:val="9FC85B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66A5B63"/>
    <w:multiLevelType w:val="hybridMultilevel"/>
    <w:tmpl w:val="5D5034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0C"/>
    <w:rsid w:val="00060772"/>
    <w:rsid w:val="001E7A7C"/>
    <w:rsid w:val="001F2B0D"/>
    <w:rsid w:val="00257E49"/>
    <w:rsid w:val="00326EEB"/>
    <w:rsid w:val="0035600C"/>
    <w:rsid w:val="003A1967"/>
    <w:rsid w:val="003C1A96"/>
    <w:rsid w:val="004B252D"/>
    <w:rsid w:val="00521E4A"/>
    <w:rsid w:val="007C2B8B"/>
    <w:rsid w:val="009958D5"/>
    <w:rsid w:val="009C4CA5"/>
    <w:rsid w:val="009F3977"/>
    <w:rsid w:val="00A5671A"/>
    <w:rsid w:val="00A66E28"/>
    <w:rsid w:val="00A920A1"/>
    <w:rsid w:val="00B4356A"/>
    <w:rsid w:val="00BE4E85"/>
    <w:rsid w:val="00BE5FFD"/>
    <w:rsid w:val="00C2796E"/>
    <w:rsid w:val="00C567A8"/>
    <w:rsid w:val="00CE06EF"/>
    <w:rsid w:val="00D67DE1"/>
    <w:rsid w:val="00EE6A79"/>
    <w:rsid w:val="00F02D33"/>
    <w:rsid w:val="00F353BD"/>
    <w:rsid w:val="00F83D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ind w:left="56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1A96"/>
    <w:rPr>
      <w:rFonts w:ascii="Times New Roman" w:hAnsi="Times New Roman"/>
      <w:sz w:val="24"/>
      <w:szCs w:val="24"/>
      <w:lang w:eastAsia="hu-HU"/>
    </w:rPr>
  </w:style>
  <w:style w:type="paragraph" w:styleId="Cmsor1">
    <w:name w:val="heading 1"/>
    <w:basedOn w:val="Norml"/>
    <w:next w:val="Norml"/>
    <w:link w:val="Cmsor1Char"/>
    <w:uiPriority w:val="9"/>
    <w:qFormat/>
    <w:rsid w:val="003C1A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1A96"/>
    <w:rPr>
      <w:rFonts w:asciiTheme="majorHAnsi" w:eastAsiaTheme="majorEastAsia" w:hAnsiTheme="majorHAnsi" w:cstheme="majorBidi"/>
      <w:b/>
      <w:bCs/>
      <w:color w:val="365F91" w:themeColor="accent1" w:themeShade="BF"/>
      <w:sz w:val="28"/>
      <w:szCs w:val="28"/>
      <w:lang w:eastAsia="hu-HU"/>
    </w:rPr>
  </w:style>
  <w:style w:type="paragraph" w:styleId="Nincstrkz">
    <w:name w:val="No Spacing"/>
    <w:uiPriority w:val="1"/>
    <w:qFormat/>
    <w:rsid w:val="003C1A96"/>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ind w:left="56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C1A96"/>
    <w:rPr>
      <w:rFonts w:ascii="Times New Roman" w:hAnsi="Times New Roman"/>
      <w:sz w:val="24"/>
      <w:szCs w:val="24"/>
      <w:lang w:eastAsia="hu-HU"/>
    </w:rPr>
  </w:style>
  <w:style w:type="paragraph" w:styleId="Cmsor1">
    <w:name w:val="heading 1"/>
    <w:basedOn w:val="Norml"/>
    <w:next w:val="Norml"/>
    <w:link w:val="Cmsor1Char"/>
    <w:uiPriority w:val="9"/>
    <w:qFormat/>
    <w:rsid w:val="003C1A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1A96"/>
    <w:rPr>
      <w:rFonts w:asciiTheme="majorHAnsi" w:eastAsiaTheme="majorEastAsia" w:hAnsiTheme="majorHAnsi" w:cstheme="majorBidi"/>
      <w:b/>
      <w:bCs/>
      <w:color w:val="365F91" w:themeColor="accent1" w:themeShade="BF"/>
      <w:sz w:val="28"/>
      <w:szCs w:val="28"/>
      <w:lang w:eastAsia="hu-HU"/>
    </w:rPr>
  </w:style>
  <w:style w:type="paragraph" w:styleId="Nincstrkz">
    <w:name w:val="No Spacing"/>
    <w:uiPriority w:val="1"/>
    <w:qFormat/>
    <w:rsid w:val="003C1A96"/>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1429</Words>
  <Characters>9866</Characters>
  <Application>Microsoft Office Word</Application>
  <DocSecurity>0</DocSecurity>
  <Lines>82</Lines>
  <Paragraphs>22</Paragraphs>
  <ScaleCrop>false</ScaleCrop>
  <Company/>
  <LinksUpToDate>false</LinksUpToDate>
  <CharactersWithSpaces>11273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Zakarné Gscheidt Timea</dc:creator>
  <cp:keywords/>
  <dc:description/>
  <cp:lastModifiedBy>Zakarné Gscheidt Timea</cp:lastModifiedBy>
  <cp:revision>2</cp:revision>
  <dcterms:created xsi:type="dcterms:W3CDTF">2019-10-29T07:47:00Z</dcterms:created>
  <dcterms:modified xsi:type="dcterms:W3CDTF">2019-10-29T07:47:00Z</dcterms:modified>
</cp:coreProperties>
</file>