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06" w:rsidRDefault="006F3A06" w:rsidP="006F3A06">
      <w:pPr>
        <w:pStyle w:val="Normal1"/>
        <w:jc w:val="center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>Muhi Község Önkormányzat Képviselő-testületének</w:t>
      </w:r>
    </w:p>
    <w:p w:rsidR="006F3A06" w:rsidRDefault="006F3A06" w:rsidP="006F3A06">
      <w:pPr>
        <w:pStyle w:val="Normal1"/>
        <w:jc w:val="center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>2</w:t>
      </w: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>/2018.(V.29.) önkormányzati rendelete a</w:t>
      </w:r>
    </w:p>
    <w:p w:rsidR="006F3A06" w:rsidRDefault="006F3A06" w:rsidP="006F3A06">
      <w:pPr>
        <w:pStyle w:val="Normal1"/>
        <w:jc w:val="center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>2017. évi pénzügyi terv végrehajtásáról</w:t>
      </w:r>
    </w:p>
    <w:p w:rsidR="006F3A06" w:rsidRDefault="006F3A06" w:rsidP="006F3A06">
      <w:pPr>
        <w:pStyle w:val="Normal1"/>
        <w:jc w:val="center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</w:p>
    <w:p w:rsidR="006F3A06" w:rsidRDefault="006F3A06" w:rsidP="006F3A06">
      <w:pPr>
        <w:spacing w:after="0" w:line="240" w:lineRule="auto"/>
        <w:jc w:val="both"/>
      </w:pPr>
      <w:r w:rsidRPr="005517B7">
        <w:tab/>
      </w:r>
      <w:r w:rsidRPr="005517B7">
        <w:tab/>
      </w:r>
      <w:r>
        <w:t xml:space="preserve">         </w:t>
      </w:r>
    </w:p>
    <w:p w:rsidR="006F3A06" w:rsidRDefault="006F3A06" w:rsidP="006F3A06">
      <w:pPr>
        <w:pStyle w:val="Normal1"/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Muhi Község Önkormányzat Képviselő-testülete az Alaptörvény 32. cikk (2) bekezdésében meghatározott eredeti jogalkotói, az Alaptörvény 32. cikk (1) bekezdés f) pontjában meghatározott feladatkörében eljárva a következőket rendeli el:</w:t>
      </w:r>
    </w:p>
    <w:p w:rsidR="006F3A06" w:rsidRDefault="006F3A06" w:rsidP="006F3A06">
      <w:pPr>
        <w:pStyle w:val="Normal1"/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Pr="00F83607" w:rsidRDefault="006F3A06" w:rsidP="006F3A06">
      <w:pPr>
        <w:pStyle w:val="Normal1"/>
        <w:numPr>
          <w:ilvl w:val="0"/>
          <w:numId w:val="1"/>
        </w:numPr>
        <w:jc w:val="center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  <w:r w:rsidRPr="00F83607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>§</w:t>
      </w:r>
    </w:p>
    <w:p w:rsidR="006F3A06" w:rsidRDefault="006F3A06" w:rsidP="006F3A06">
      <w:pPr>
        <w:pStyle w:val="Normal1"/>
        <w:jc w:val="center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numPr>
          <w:ilvl w:val="0"/>
          <w:numId w:val="2"/>
        </w:numPr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 xml:space="preserve">Az önkormányzat képviselő-testülete az Önkormányzat 2017. évi költségvetés végrehajtásáról szóló zárszámadást </w:t>
      </w:r>
    </w:p>
    <w:p w:rsidR="006F3A06" w:rsidRDefault="006F3A06" w:rsidP="006F3A06">
      <w:pPr>
        <w:pStyle w:val="Normal1"/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Pr="004B1BE1" w:rsidRDefault="006F3A06" w:rsidP="006F3A06">
      <w:pPr>
        <w:pStyle w:val="Normal1"/>
        <w:ind w:left="2832" w:firstLine="708"/>
        <w:jc w:val="both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 xml:space="preserve">136 139 197 </w:t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>forint bevétellel</w:t>
      </w:r>
    </w:p>
    <w:p w:rsidR="006F3A06" w:rsidRPr="004B1BE1" w:rsidRDefault="006F3A06" w:rsidP="006F3A06">
      <w:pPr>
        <w:pStyle w:val="Normal1"/>
        <w:ind w:left="2832" w:firstLine="708"/>
        <w:jc w:val="both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 xml:space="preserve">55 842 232 </w:t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>forint kiadással</w:t>
      </w:r>
    </w:p>
    <w:p w:rsidR="006F3A06" w:rsidRPr="004B1BE1" w:rsidRDefault="006F3A06" w:rsidP="006F3A06">
      <w:pPr>
        <w:pStyle w:val="Normal1"/>
        <w:jc w:val="both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 xml:space="preserve">           </w:t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>80 296 965</w:t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 xml:space="preserve"> forint maradvánnyal</w:t>
      </w:r>
    </w:p>
    <w:p w:rsidR="006F3A06" w:rsidRDefault="006F3A06" w:rsidP="006F3A06">
      <w:pPr>
        <w:pStyle w:val="Normal1"/>
        <w:jc w:val="center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ind w:left="705"/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 xml:space="preserve">5 fő választott tisztségviselő, valamint 10 fő átlaglétszámmal (3 fő közalkalmazott, 7 fő munka törvénykönyve alapján foglalkoztatott) </w:t>
      </w:r>
    </w:p>
    <w:p w:rsidR="006F3A06" w:rsidRDefault="006F3A06" w:rsidP="006F3A06">
      <w:pPr>
        <w:pStyle w:val="Normal1"/>
        <w:ind w:left="705"/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ind w:left="705"/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elfogadja.</w:t>
      </w:r>
    </w:p>
    <w:p w:rsidR="006F3A06" w:rsidRDefault="006F3A06" w:rsidP="006F3A06">
      <w:pPr>
        <w:pStyle w:val="Normal1"/>
        <w:ind w:left="705"/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numPr>
          <w:ilvl w:val="0"/>
          <w:numId w:val="2"/>
        </w:numPr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Muhi Község Önkormányzatának Képviselő-testülete a Muhi Pöttömkert Óvoda 2017. évi költségvetésének végrehajtásáról szóló zárszámadást</w:t>
      </w:r>
    </w:p>
    <w:p w:rsidR="006F3A06" w:rsidRDefault="006F3A06" w:rsidP="006F3A06">
      <w:pPr>
        <w:pStyle w:val="Normal1"/>
        <w:ind w:left="720"/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Pr="004B1BE1" w:rsidRDefault="006F3A06" w:rsidP="006F3A06">
      <w:pPr>
        <w:pStyle w:val="Normal1"/>
        <w:ind w:left="2832" w:firstLine="708"/>
        <w:jc w:val="both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 xml:space="preserve">11 383 078 </w:t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>forint bevétellel</w:t>
      </w:r>
    </w:p>
    <w:p w:rsidR="006F3A06" w:rsidRPr="004B1BE1" w:rsidRDefault="006F3A06" w:rsidP="006F3A06">
      <w:pPr>
        <w:pStyle w:val="Normal1"/>
        <w:ind w:left="2832" w:firstLine="708"/>
        <w:jc w:val="both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 xml:space="preserve">11 034 068 </w:t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>forint kiadással</w:t>
      </w:r>
    </w:p>
    <w:p w:rsidR="006F3A06" w:rsidRPr="004B1BE1" w:rsidRDefault="006F3A06" w:rsidP="006F3A06">
      <w:pPr>
        <w:pStyle w:val="Normal1"/>
        <w:jc w:val="both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 xml:space="preserve">           </w:t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 xml:space="preserve">349 010 </w:t>
      </w:r>
      <w:r w:rsidRPr="004B1BE1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>forint maradvánnyal</w:t>
      </w:r>
    </w:p>
    <w:p w:rsidR="006F3A06" w:rsidRDefault="006F3A06" w:rsidP="006F3A06">
      <w:pPr>
        <w:pStyle w:val="Normal1"/>
        <w:ind w:left="705"/>
        <w:jc w:val="center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ind w:left="705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elfogadja.</w:t>
      </w:r>
    </w:p>
    <w:p w:rsidR="006F3A06" w:rsidRPr="0008599B" w:rsidRDefault="006F3A06" w:rsidP="006F3A06">
      <w:pPr>
        <w:pStyle w:val="Normal1"/>
        <w:numPr>
          <w:ilvl w:val="0"/>
          <w:numId w:val="1"/>
        </w:numPr>
        <w:jc w:val="center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  <w:r w:rsidRPr="0008599B"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>§</w:t>
      </w:r>
    </w:p>
    <w:p w:rsidR="006F3A06" w:rsidRDefault="006F3A06" w:rsidP="006F3A06">
      <w:pPr>
        <w:pStyle w:val="Normal1"/>
        <w:jc w:val="center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numPr>
          <w:ilvl w:val="0"/>
          <w:numId w:val="3"/>
        </w:numPr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Az önkormányzati bevételek főösszegeinek forrásonkénti, illetve működési és felhalmozási cél szerinti részletezését a rendelet 1. sz. melléklete szerint fogadja el.</w:t>
      </w:r>
    </w:p>
    <w:p w:rsidR="006F3A06" w:rsidRDefault="006F3A06" w:rsidP="006F3A06">
      <w:pPr>
        <w:pStyle w:val="Normal1"/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numPr>
          <w:ilvl w:val="0"/>
          <w:numId w:val="3"/>
        </w:numPr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Az önkormányzat működési és felhalmozási kiadásainak kiemelt előirányzatonkénti és címenkénti bontását, valamint a kiadási főösszegek a rendelet 2. sz. melléklete szerint fogadja el.</w:t>
      </w:r>
    </w:p>
    <w:p w:rsidR="006F3A06" w:rsidRDefault="006F3A06" w:rsidP="006F3A06">
      <w:pPr>
        <w:pStyle w:val="Listaszerbekezds"/>
        <w:rPr>
          <w:rFonts w:cs="Arial"/>
        </w:rPr>
      </w:pPr>
    </w:p>
    <w:p w:rsidR="006F3A06" w:rsidRDefault="006F3A06" w:rsidP="006F3A06">
      <w:pPr>
        <w:pStyle w:val="Normal1"/>
        <w:numPr>
          <w:ilvl w:val="0"/>
          <w:numId w:val="3"/>
        </w:numPr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Az önkormányzat létszám és kiadási előirányzatainak címenkénti és kormányzati funkciónkénti felosztását a rendelet 3. sz. melléklete szerint fogadja el.</w:t>
      </w:r>
    </w:p>
    <w:p w:rsidR="006F3A06" w:rsidRDefault="006F3A06" w:rsidP="006F3A06">
      <w:pPr>
        <w:pStyle w:val="Listaszerbekezds"/>
        <w:rPr>
          <w:rFonts w:cs="Arial"/>
        </w:rPr>
      </w:pPr>
    </w:p>
    <w:p w:rsidR="006F3A06" w:rsidRDefault="006F3A06" w:rsidP="006F3A06">
      <w:pPr>
        <w:pStyle w:val="Normal1"/>
        <w:numPr>
          <w:ilvl w:val="0"/>
          <w:numId w:val="3"/>
        </w:numPr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Az önkormányzat személyi juttatásainak és munkaadót terhelő járulékainak kormányzati funkciónkénti részletezését a rendelet 4. sz. melléklete szerint fogadja el.</w:t>
      </w:r>
    </w:p>
    <w:p w:rsidR="006F3A06" w:rsidRDefault="006F3A06" w:rsidP="006F3A06">
      <w:pPr>
        <w:pStyle w:val="Listaszerbekezds"/>
        <w:rPr>
          <w:rFonts w:cs="Arial"/>
        </w:rPr>
      </w:pPr>
    </w:p>
    <w:p w:rsidR="006F3A06" w:rsidRDefault="006F3A06" w:rsidP="006F3A06">
      <w:pPr>
        <w:pStyle w:val="Normal1"/>
        <w:numPr>
          <w:ilvl w:val="0"/>
          <w:numId w:val="3"/>
        </w:numPr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Az önkormányzat fejlesztési és felújítási kiadásainak feladatonkénti és célonkénti kimutatását a rendelet 5. sz. melléklete szerint fogadja el.</w:t>
      </w:r>
    </w:p>
    <w:p w:rsidR="006F3A06" w:rsidRDefault="006F3A06" w:rsidP="006F3A06">
      <w:pPr>
        <w:pStyle w:val="Listaszerbekezds"/>
        <w:rPr>
          <w:rFonts w:cs="Arial"/>
        </w:rPr>
      </w:pPr>
    </w:p>
    <w:p w:rsidR="006F3A06" w:rsidRDefault="006F3A06" w:rsidP="006F3A06">
      <w:pPr>
        <w:pStyle w:val="Normal1"/>
        <w:numPr>
          <w:ilvl w:val="0"/>
          <w:numId w:val="3"/>
        </w:numPr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lastRenderedPageBreak/>
        <w:t>Az önkormányzat dologi kiadásainak kormányzati funkciónkénti kimutatását a rendelet 6. sz. melléklete szerint fogadja el.</w:t>
      </w:r>
    </w:p>
    <w:p w:rsidR="006F3A06" w:rsidRDefault="006F3A06" w:rsidP="006F3A06">
      <w:pPr>
        <w:pStyle w:val="Listaszerbekezds"/>
        <w:rPr>
          <w:rFonts w:cs="Arial"/>
        </w:rPr>
      </w:pPr>
    </w:p>
    <w:p w:rsidR="006F3A06" w:rsidRPr="000351FB" w:rsidRDefault="006F3A06" w:rsidP="006F3A06">
      <w:pPr>
        <w:pStyle w:val="Normal1"/>
        <w:numPr>
          <w:ilvl w:val="0"/>
          <w:numId w:val="3"/>
        </w:numPr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Az önkormányzat 2017. évi vagyonkimutatását - mérlegét - a rendelet 7. sz. melléklete szerint fogadja el.</w:t>
      </w:r>
    </w:p>
    <w:p w:rsidR="006F3A06" w:rsidRPr="002D4AA1" w:rsidRDefault="006F3A06" w:rsidP="006F3A06">
      <w:pPr>
        <w:pStyle w:val="Listaszerbekezds"/>
        <w:numPr>
          <w:ilvl w:val="0"/>
          <w:numId w:val="1"/>
        </w:numPr>
        <w:jc w:val="center"/>
        <w:rPr>
          <w:rFonts w:cs="Arial"/>
          <w:b/>
        </w:rPr>
      </w:pPr>
      <w:r>
        <w:rPr>
          <w:rFonts w:cs="Arial"/>
          <w:b/>
        </w:rPr>
        <w:t>§</w:t>
      </w:r>
    </w:p>
    <w:p w:rsidR="006F3A06" w:rsidRPr="002D4AA1" w:rsidRDefault="006F3A06" w:rsidP="006F3A06">
      <w:pPr>
        <w:pStyle w:val="Normal1"/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numPr>
          <w:ilvl w:val="0"/>
          <w:numId w:val="5"/>
        </w:numPr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 w:rsidRPr="002D4AA1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 xml:space="preserve">A </w:t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Pöttömkert Óvoda bevételi főösszegeinek forrásonként, illetve működési és felhalmozási célszerinti részletezését a rendelet 8. sz. melléklete szerint fogadja el.</w:t>
      </w:r>
    </w:p>
    <w:p w:rsidR="006F3A06" w:rsidRDefault="006F3A06" w:rsidP="006F3A06">
      <w:pPr>
        <w:pStyle w:val="Normal1"/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numPr>
          <w:ilvl w:val="0"/>
          <w:numId w:val="5"/>
        </w:numPr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A Pöttömkert Óvoda működési és felhalmozási kiadások kiemelt előirányzatonkénti és címenkénti bontását, valamint a kiadási főösszegek kormányzati funkciónkénti részletezését a rendelet 9. sz. melléklete szerint fogadja el.</w:t>
      </w:r>
    </w:p>
    <w:p w:rsidR="006F3A06" w:rsidRDefault="006F3A06" w:rsidP="006F3A06">
      <w:pPr>
        <w:pStyle w:val="Normal1"/>
        <w:ind w:left="720"/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numPr>
          <w:ilvl w:val="0"/>
          <w:numId w:val="5"/>
        </w:numPr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A Pöttömkert Óvoda létszám és kiadási előirányzatok címenkénti és kormányzati funkciónkénti felosztását a rendelet 10. sz. melléklete szerint fogadja el.</w:t>
      </w:r>
    </w:p>
    <w:p w:rsidR="006F3A06" w:rsidRDefault="006F3A06" w:rsidP="006F3A06">
      <w:pPr>
        <w:pStyle w:val="Listaszerbekezds"/>
        <w:rPr>
          <w:rFonts w:cs="Arial"/>
        </w:rPr>
      </w:pPr>
    </w:p>
    <w:p w:rsidR="006F3A06" w:rsidRDefault="006F3A06" w:rsidP="006F3A06">
      <w:pPr>
        <w:pStyle w:val="Normal1"/>
        <w:numPr>
          <w:ilvl w:val="0"/>
          <w:numId w:val="1"/>
        </w:numPr>
        <w:jc w:val="center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>§</w:t>
      </w:r>
    </w:p>
    <w:p w:rsidR="006F3A06" w:rsidRDefault="006F3A06" w:rsidP="006F3A06">
      <w:pPr>
        <w:pStyle w:val="Normal1"/>
        <w:jc w:val="center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</w:p>
    <w:p w:rsidR="006F3A06" w:rsidRPr="005E6524" w:rsidRDefault="006F3A06" w:rsidP="006F3A06">
      <w:pPr>
        <w:pStyle w:val="Normal1"/>
        <w:numPr>
          <w:ilvl w:val="0"/>
          <w:numId w:val="4"/>
        </w:numPr>
        <w:tabs>
          <w:tab w:val="left" w:pos="1134"/>
        </w:tabs>
        <w:ind w:left="1134" w:hanging="425"/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A képviselő-testület felhívja az önkormányzat jegyzőjét, hogy a költségvetési  maradványt érintő fizetési kötelezettségek teljesítését biztosítsa, ill. kísérje figyelemmel.</w:t>
      </w:r>
    </w:p>
    <w:p w:rsidR="006F3A06" w:rsidRDefault="006F3A06" w:rsidP="006F3A06">
      <w:pPr>
        <w:pStyle w:val="Normal1"/>
        <w:jc w:val="center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numPr>
          <w:ilvl w:val="0"/>
          <w:numId w:val="1"/>
        </w:numPr>
        <w:jc w:val="center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>§</w:t>
      </w:r>
    </w:p>
    <w:p w:rsidR="006F3A06" w:rsidRDefault="006F3A06" w:rsidP="006F3A06">
      <w:pPr>
        <w:pStyle w:val="Normal1"/>
        <w:jc w:val="center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numPr>
          <w:ilvl w:val="0"/>
          <w:numId w:val="6"/>
        </w:numPr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Ez a rendelet 2018. május 30. napján lép hatályba.</w:t>
      </w:r>
    </w:p>
    <w:p w:rsidR="006F3A06" w:rsidRDefault="006F3A06" w:rsidP="006F3A06">
      <w:pPr>
        <w:pStyle w:val="Normal1"/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Pr="0008599B" w:rsidRDefault="006F3A06" w:rsidP="006F3A06">
      <w:pPr>
        <w:pStyle w:val="Normal1"/>
        <w:jc w:val="both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Pr="005517B7" w:rsidRDefault="006F3A06" w:rsidP="006F3A06">
      <w:pPr>
        <w:widowControl w:val="0"/>
        <w:autoSpaceDE w:val="0"/>
        <w:autoSpaceDN w:val="0"/>
        <w:adjustRightInd w:val="0"/>
        <w:spacing w:before="120" w:line="240" w:lineRule="auto"/>
        <w:jc w:val="both"/>
      </w:pPr>
      <w:r>
        <w:t>Muhi</w:t>
      </w:r>
      <w:r w:rsidRPr="005517B7">
        <w:t>, 201</w:t>
      </w:r>
      <w:r>
        <w:t>8</w:t>
      </w:r>
      <w:r w:rsidRPr="005517B7">
        <w:t xml:space="preserve">. </w:t>
      </w:r>
      <w:r>
        <w:t>május 29.</w:t>
      </w:r>
    </w:p>
    <w:p w:rsidR="006F3A06" w:rsidRPr="005517B7" w:rsidRDefault="006F3A06" w:rsidP="006F3A06">
      <w:pPr>
        <w:spacing w:line="240" w:lineRule="auto"/>
        <w:jc w:val="both"/>
      </w:pPr>
      <w:r>
        <w:tab/>
        <w:t xml:space="preserve"> </w:t>
      </w:r>
      <w:r>
        <w:tab/>
      </w:r>
      <w:r>
        <w:tab/>
      </w:r>
      <w:r>
        <w:tab/>
      </w:r>
      <w:r>
        <w:tab/>
        <w:t xml:space="preserve">                        </w:t>
      </w:r>
    </w:p>
    <w:p w:rsidR="006F3A06" w:rsidRPr="005517B7" w:rsidRDefault="006F3A06" w:rsidP="006F3A06">
      <w:pPr>
        <w:spacing w:after="0" w:line="240" w:lineRule="auto"/>
        <w:jc w:val="both"/>
      </w:pPr>
      <w:r>
        <w:t xml:space="preserve">          Rácz József s.k.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 xml:space="preserve">    </w:t>
      </w:r>
      <w:bookmarkStart w:id="0" w:name="_GoBack"/>
      <w:bookmarkEnd w:id="0"/>
      <w:r>
        <w:t>Molnár Szilvia s.k.</w:t>
      </w:r>
    </w:p>
    <w:p w:rsidR="006F3A06" w:rsidRPr="005517B7" w:rsidRDefault="006F3A06" w:rsidP="006F3A06">
      <w:pPr>
        <w:spacing w:after="0" w:line="240" w:lineRule="auto"/>
        <w:jc w:val="both"/>
      </w:pPr>
      <w:r>
        <w:t xml:space="preserve">          </w:t>
      </w:r>
      <w:r w:rsidRPr="005517B7">
        <w:t>polgármester</w:t>
      </w:r>
      <w:r w:rsidRPr="005517B7">
        <w:tab/>
      </w:r>
      <w:r w:rsidRPr="005517B7">
        <w:tab/>
      </w:r>
      <w:r w:rsidRPr="005517B7">
        <w:tab/>
      </w:r>
      <w:r w:rsidRPr="005517B7">
        <w:tab/>
      </w:r>
      <w:r>
        <w:tab/>
      </w:r>
      <w:r>
        <w:tab/>
      </w:r>
      <w:r>
        <w:tab/>
        <w:t xml:space="preserve">             </w:t>
      </w:r>
      <w:r>
        <w:t xml:space="preserve">      </w:t>
      </w:r>
      <w:r>
        <w:t>aljegyző</w:t>
      </w:r>
    </w:p>
    <w:p w:rsidR="006F3A06" w:rsidRDefault="006F3A06" w:rsidP="006F3A06">
      <w:pPr>
        <w:pStyle w:val="Normal1"/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</w:pPr>
    </w:p>
    <w:p w:rsidR="006F3A06" w:rsidRPr="00DA6A9F" w:rsidRDefault="006F3A06" w:rsidP="006F3A06">
      <w:pPr>
        <w:pStyle w:val="Normal1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b/>
          <w:kern w:val="0"/>
          <w:sz w:val="22"/>
          <w:szCs w:val="22"/>
          <w:lang w:eastAsia="en-US"/>
        </w:rPr>
        <w:t xml:space="preserve">      </w:t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helyett</w:t>
      </w:r>
    </w:p>
    <w:p w:rsidR="006F3A06" w:rsidRPr="00DA6A9F" w:rsidRDefault="006F3A06" w:rsidP="006F3A06">
      <w:pPr>
        <w:pStyle w:val="Normal1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</w:p>
    <w:p w:rsidR="006F3A06" w:rsidRDefault="006F3A06" w:rsidP="006F3A06">
      <w:pPr>
        <w:pStyle w:val="Normal1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 xml:space="preserve">    </w:t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 xml:space="preserve">    </w:t>
      </w:r>
      <w:r w:rsidRPr="00DA6A9F"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előre bejelentett betegsége miatt</w:t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:</w:t>
      </w:r>
    </w:p>
    <w:p w:rsidR="006F3A06" w:rsidRDefault="006F3A06" w:rsidP="006F3A06">
      <w:pPr>
        <w:pStyle w:val="Normal1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</w:p>
    <w:p w:rsidR="006F3A06" w:rsidRDefault="006F3A06" w:rsidP="006F3A06">
      <w:pPr>
        <w:pStyle w:val="Normal1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  <w:t>Sándor-Nádházi Alexandra</w:t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 xml:space="preserve"> s.k.</w:t>
      </w:r>
    </w:p>
    <w:p w:rsidR="006F3A06" w:rsidRPr="00D427D4" w:rsidRDefault="006F3A06" w:rsidP="006F3A06">
      <w:pPr>
        <w:pStyle w:val="Normal1"/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ab/>
        <w:t xml:space="preserve">        </w:t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 xml:space="preserve">     </w:t>
      </w:r>
      <w:r>
        <w:rPr>
          <w:rFonts w:asciiTheme="minorHAnsi" w:eastAsiaTheme="minorHAnsi" w:hAnsiTheme="minorHAnsi" w:cs="Arial"/>
          <w:kern w:val="0"/>
          <w:sz w:val="22"/>
          <w:szCs w:val="22"/>
          <w:lang w:eastAsia="en-US"/>
        </w:rPr>
        <w:t>pénzügyi előadó, köztisztviselő</w:t>
      </w:r>
    </w:p>
    <w:p w:rsidR="000B2996" w:rsidRDefault="000B2996"/>
    <w:sectPr w:rsidR="000B2996" w:rsidSect="007C6A58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514178"/>
      <w:docPartObj>
        <w:docPartGallery w:val="Page Numbers (Bottom of Page)"/>
        <w:docPartUnique/>
      </w:docPartObj>
    </w:sdtPr>
    <w:sdtEndPr/>
    <w:sdtContent>
      <w:p w:rsidR="00B3318E" w:rsidRDefault="006F3A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3318E" w:rsidRDefault="006F3A06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4BE1"/>
    <w:multiLevelType w:val="hybridMultilevel"/>
    <w:tmpl w:val="68561716"/>
    <w:lvl w:ilvl="0" w:tplc="C7D239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E53D1A"/>
    <w:multiLevelType w:val="hybridMultilevel"/>
    <w:tmpl w:val="3A901794"/>
    <w:lvl w:ilvl="0" w:tplc="3A9032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046C3"/>
    <w:multiLevelType w:val="hybridMultilevel"/>
    <w:tmpl w:val="78BE9E58"/>
    <w:lvl w:ilvl="0" w:tplc="D59693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E3405"/>
    <w:multiLevelType w:val="hybridMultilevel"/>
    <w:tmpl w:val="6EBECF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A15BC"/>
    <w:multiLevelType w:val="hybridMultilevel"/>
    <w:tmpl w:val="D5B2AEB0"/>
    <w:lvl w:ilvl="0" w:tplc="C1627A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0E4E72"/>
    <w:multiLevelType w:val="hybridMultilevel"/>
    <w:tmpl w:val="2E7CB2FC"/>
    <w:lvl w:ilvl="0" w:tplc="D94E3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06"/>
    <w:rsid w:val="000B2996"/>
    <w:rsid w:val="006F3A06"/>
    <w:rsid w:val="00D6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A0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D6073B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D6073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6073B"/>
    <w:rPr>
      <w:rFonts w:ascii="Cambria" w:hAnsi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D6073B"/>
    <w:rPr>
      <w:rFonts w:ascii="Cambria" w:hAnsi="Cambria"/>
      <w:b/>
      <w:bCs/>
      <w:i/>
      <w:i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D6073B"/>
    <w:pPr>
      <w:ind w:left="720"/>
      <w:contextualSpacing/>
    </w:pPr>
  </w:style>
  <w:style w:type="paragraph" w:customStyle="1" w:styleId="Normal1">
    <w:name w:val="Normal1"/>
    <w:rsid w:val="006F3A06"/>
    <w:pPr>
      <w:suppressAutoHyphens/>
      <w:spacing w:line="100" w:lineRule="atLeast"/>
    </w:pPr>
    <w:rPr>
      <w:rFonts w:eastAsia="Arial"/>
      <w:kern w:val="2"/>
      <w:lang w:eastAsia="ar-SA"/>
    </w:rPr>
  </w:style>
  <w:style w:type="paragraph" w:styleId="llb">
    <w:name w:val="footer"/>
    <w:basedOn w:val="Norml"/>
    <w:link w:val="llbChar"/>
    <w:uiPriority w:val="99"/>
    <w:unhideWhenUsed/>
    <w:rsid w:val="006F3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3A06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3A0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D6073B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D6073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6073B"/>
    <w:rPr>
      <w:rFonts w:ascii="Cambria" w:hAnsi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D6073B"/>
    <w:rPr>
      <w:rFonts w:ascii="Cambria" w:hAnsi="Cambria"/>
      <w:b/>
      <w:bCs/>
      <w:i/>
      <w:i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D6073B"/>
    <w:pPr>
      <w:ind w:left="720"/>
      <w:contextualSpacing/>
    </w:pPr>
  </w:style>
  <w:style w:type="paragraph" w:customStyle="1" w:styleId="Normal1">
    <w:name w:val="Normal1"/>
    <w:rsid w:val="006F3A06"/>
    <w:pPr>
      <w:suppressAutoHyphens/>
      <w:spacing w:line="100" w:lineRule="atLeast"/>
    </w:pPr>
    <w:rPr>
      <w:rFonts w:eastAsia="Arial"/>
      <w:kern w:val="2"/>
      <w:lang w:eastAsia="ar-SA"/>
    </w:rPr>
  </w:style>
  <w:style w:type="paragraph" w:styleId="llb">
    <w:name w:val="footer"/>
    <w:basedOn w:val="Norml"/>
    <w:link w:val="llbChar"/>
    <w:uiPriority w:val="99"/>
    <w:unhideWhenUsed/>
    <w:rsid w:val="006F3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3A0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2797</Characters>
  <Application>Microsoft Office Word</Application>
  <DocSecurity>0</DocSecurity>
  <Lines>23</Lines>
  <Paragraphs>6</Paragraphs>
  <ScaleCrop>false</ScaleCrop>
  <Company>-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1</cp:revision>
  <dcterms:created xsi:type="dcterms:W3CDTF">2018-05-31T13:21:00Z</dcterms:created>
  <dcterms:modified xsi:type="dcterms:W3CDTF">2018-05-31T13:22:00Z</dcterms:modified>
</cp:coreProperties>
</file>