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5DD8" w14:textId="77777777" w:rsidR="00040837" w:rsidRPr="00D94F21" w:rsidRDefault="00040837" w:rsidP="00040837">
      <w:pPr>
        <w:pageBreakBefore/>
        <w:spacing w:after="120" w:line="276" w:lineRule="auto"/>
        <w:ind w:left="2832" w:firstLine="708"/>
        <w:rPr>
          <w:rFonts w:ascii="Calibri" w:hAnsi="Calibri"/>
          <w:b/>
          <w:bCs/>
        </w:rPr>
      </w:pPr>
      <w:r w:rsidRPr="00D94F21">
        <w:rPr>
          <w:rFonts w:ascii="Calibri" w:hAnsi="Calibri"/>
          <w:b/>
          <w:bCs/>
        </w:rPr>
        <w:t>ELŐZETES HATÁSVIZSGÁLAT</w:t>
      </w:r>
    </w:p>
    <w:p w14:paraId="55EAE6EF" w14:textId="77777777" w:rsidR="00040837" w:rsidRPr="00D94F21" w:rsidRDefault="00040837" w:rsidP="00040837">
      <w:pPr>
        <w:spacing w:after="120" w:line="276" w:lineRule="auto"/>
        <w:jc w:val="center"/>
        <w:rPr>
          <w:rFonts w:ascii="Calibri" w:hAnsi="Calibr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1"/>
        <w:gridCol w:w="164"/>
        <w:gridCol w:w="49"/>
        <w:gridCol w:w="1770"/>
        <w:gridCol w:w="744"/>
        <w:gridCol w:w="1322"/>
        <w:gridCol w:w="1386"/>
        <w:gridCol w:w="619"/>
        <w:gridCol w:w="1333"/>
      </w:tblGrid>
      <w:tr w:rsidR="00040837" w:rsidRPr="00D94F21" w14:paraId="5BF8B2C5" w14:textId="77777777" w:rsidTr="00EF2792">
        <w:trPr>
          <w:trHeight w:val="683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32E5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F4D64" w14:textId="53EB7791" w:rsidR="00040837" w:rsidRPr="00D94F21" w:rsidRDefault="00040837" w:rsidP="00EF2792">
            <w:pPr>
              <w:spacing w:after="120" w:line="300" w:lineRule="auto"/>
              <w:rPr>
                <w:rFonts w:eastAsia="Times New Roman"/>
                <w:b/>
                <w:lang w:eastAsia="hu-HU"/>
              </w:rPr>
            </w:pPr>
            <w:r w:rsidRPr="00D94F21">
              <w:rPr>
                <w:rFonts w:eastAsia="Times New Roman"/>
                <w:b/>
                <w:lang w:eastAsia="hu-HU"/>
              </w:rPr>
              <w:t>Keszthely Város Önkormányzata Képviselő-testülete …/20</w:t>
            </w:r>
            <w:r>
              <w:rPr>
                <w:rFonts w:eastAsia="Times New Roman"/>
                <w:b/>
                <w:lang w:eastAsia="hu-HU"/>
              </w:rPr>
              <w:t>20</w:t>
            </w:r>
            <w:r w:rsidRPr="00D94F21">
              <w:rPr>
                <w:rFonts w:eastAsia="Times New Roman"/>
                <w:b/>
                <w:lang w:eastAsia="hu-HU"/>
              </w:rPr>
              <w:t>. (...)</w:t>
            </w:r>
            <w:r w:rsidRPr="00D94F21">
              <w:rPr>
                <w:rFonts w:eastAsia="Times New Roman"/>
                <w:lang w:eastAsia="hu-HU"/>
              </w:rPr>
              <w:t xml:space="preserve"> </w:t>
            </w:r>
            <w:r w:rsidRPr="00D94F21">
              <w:rPr>
                <w:rFonts w:eastAsia="Times New Roman"/>
                <w:b/>
                <w:lang w:eastAsia="hu-HU"/>
              </w:rPr>
              <w:t xml:space="preserve">önkormányzati rendelete </w:t>
            </w:r>
            <w:r w:rsidRPr="008179CA">
              <w:rPr>
                <w:rFonts w:eastAsia="Times New Roman"/>
                <w:b/>
                <w:lang w:eastAsia="hu-HU"/>
              </w:rPr>
              <w:t>a közterület használatának szabályozásáról szóló</w:t>
            </w:r>
            <w:r>
              <w:rPr>
                <w:rFonts w:eastAsia="Times New Roman"/>
                <w:b/>
                <w:lang w:eastAsia="hu-HU"/>
              </w:rPr>
              <w:t xml:space="preserve"> </w:t>
            </w:r>
            <w:r w:rsidRPr="008179CA">
              <w:rPr>
                <w:rFonts w:eastAsia="Times New Roman"/>
                <w:b/>
                <w:lang w:eastAsia="hu-HU"/>
              </w:rPr>
              <w:t>47/2013. (XII.13.) önkormányzati rendelet módosításáról</w:t>
            </w:r>
          </w:p>
        </w:tc>
      </w:tr>
      <w:tr w:rsidR="00040837" w:rsidRPr="00D94F21" w14:paraId="62F83013" w14:textId="77777777" w:rsidTr="00EF2792">
        <w:trPr>
          <w:trHeight w:val="440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074E" w14:textId="77777777" w:rsidR="00040837" w:rsidRPr="00D94F21" w:rsidRDefault="00040837" w:rsidP="00EF2792">
            <w:pPr>
              <w:spacing w:after="200"/>
              <w:jc w:val="center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Rendelet-tervezet valamennyi jelentős hatása, különösen a</w:t>
            </w:r>
          </w:p>
        </w:tc>
      </w:tr>
      <w:tr w:rsidR="00040837" w:rsidRPr="00D94F21" w14:paraId="6E88A6E7" w14:textId="77777777" w:rsidTr="00EF2792">
        <w:trPr>
          <w:trHeight w:val="143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922BD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6A4B3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1A0E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95951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 xml:space="preserve">Adminisztratív </w:t>
            </w:r>
            <w:proofErr w:type="spellStart"/>
            <w:r w:rsidRPr="00D94F21">
              <w:rPr>
                <w:rFonts w:cs="Book Antiqua"/>
                <w:b/>
                <w:bCs/>
              </w:rPr>
              <w:t>terheket</w:t>
            </w:r>
            <w:proofErr w:type="spellEnd"/>
            <w:r w:rsidRPr="00D94F21">
              <w:rPr>
                <w:rFonts w:cs="Book Antiqua"/>
                <w:b/>
                <w:bCs/>
              </w:rPr>
              <w:t xml:space="preserve"> befolyásoló hatás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41DD1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Egyéb hatás</w:t>
            </w:r>
          </w:p>
        </w:tc>
      </w:tr>
      <w:tr w:rsidR="00040837" w:rsidRPr="00D94F21" w14:paraId="3881EA2E" w14:textId="77777777" w:rsidTr="00EF2792">
        <w:trPr>
          <w:trHeight w:val="1134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CCCE" w14:textId="77777777" w:rsidR="00040837" w:rsidRPr="00D94F21" w:rsidRDefault="00040837" w:rsidP="00EF2792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8A912" w14:textId="77777777" w:rsidR="00040837" w:rsidRPr="00D94F21" w:rsidRDefault="00040837" w:rsidP="00EF2792">
            <w:pPr>
              <w:spacing w:after="200"/>
              <w:rPr>
                <w:rFonts w:cs="Book Antiqua"/>
              </w:rPr>
            </w:pPr>
            <w:r>
              <w:rPr>
                <w:rFonts w:cs="Book Antiqua"/>
              </w:rPr>
              <w:t>Nincs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CDCA" w14:textId="77777777" w:rsidR="00040837" w:rsidRPr="00D94F21" w:rsidRDefault="00040837" w:rsidP="00EF2792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58557" w14:textId="77777777" w:rsidR="00040837" w:rsidRPr="00D94F21" w:rsidRDefault="00040837" w:rsidP="00EF2792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934F7" w14:textId="77777777" w:rsidR="00040837" w:rsidRPr="00D94F21" w:rsidRDefault="00040837" w:rsidP="00EF2792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Nincs</w:t>
            </w:r>
          </w:p>
        </w:tc>
      </w:tr>
      <w:tr w:rsidR="00040837" w:rsidRPr="00D94F21" w14:paraId="3EA0833F" w14:textId="77777777" w:rsidTr="00EF2792">
        <w:trPr>
          <w:trHeight w:val="52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1C99D" w14:textId="21F96FC4" w:rsidR="00040837" w:rsidRPr="00D94F21" w:rsidRDefault="00040837" w:rsidP="00040837">
            <w:pPr>
              <w:jc w:val="both"/>
              <w:rPr>
                <w:rFonts w:cs="Book Antiqua"/>
              </w:rPr>
            </w:pPr>
            <w:r w:rsidRPr="00D94F21">
              <w:rPr>
                <w:rFonts w:cs="Book Antiqua"/>
                <w:b/>
                <w:bCs/>
              </w:rPr>
              <w:t xml:space="preserve">A rendelet megalkotása szükséges, mert: </w:t>
            </w:r>
            <w:r>
              <w:t>A közterület-használat önkormányzati hatósági üggyé minősítése okán, a hatósági eljárás alapvető feltételeinek megteremtése érdekében szükséges a korábbi polgári jogi szabályozás felváltása; ennek tesz eleget a rendeletmódosítás.</w:t>
            </w:r>
          </w:p>
        </w:tc>
      </w:tr>
      <w:tr w:rsidR="00040837" w:rsidRPr="00D94F21" w14:paraId="2AEFEEC3" w14:textId="77777777" w:rsidTr="00EF2792">
        <w:trPr>
          <w:trHeight w:val="539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E16D" w14:textId="1A9082AA" w:rsidR="00040837" w:rsidRPr="00D94F21" w:rsidRDefault="00040837" w:rsidP="00EF2792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  <w:b/>
                <w:bCs/>
              </w:rPr>
              <w:t xml:space="preserve">A rendelet megalkotásának elmaradása esetén várható következmények: </w:t>
            </w:r>
            <w:r w:rsidRPr="00040837">
              <w:rPr>
                <w:rFonts w:cs="Book Antiqua"/>
              </w:rPr>
              <w:t>a joggyakorlatra irányadó kúriai döntésnek nem felel meg a jelenlegi rendelet.</w:t>
            </w:r>
            <w:r>
              <w:rPr>
                <w:rFonts w:cs="Book Antiqua"/>
                <w:b/>
                <w:bCs/>
              </w:rPr>
              <w:t xml:space="preserve"> </w:t>
            </w:r>
          </w:p>
        </w:tc>
      </w:tr>
      <w:tr w:rsidR="00040837" w:rsidRPr="00D94F21" w14:paraId="1FDAB36D" w14:textId="77777777" w:rsidTr="00EF2792">
        <w:trPr>
          <w:trHeight w:val="43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77259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A rendelet alkalmazásához szükséges feltételek:</w:t>
            </w:r>
          </w:p>
        </w:tc>
      </w:tr>
      <w:tr w:rsidR="00040837" w:rsidRPr="00D94F21" w14:paraId="287B1336" w14:textId="77777777" w:rsidTr="00EF2792">
        <w:trPr>
          <w:trHeight w:val="404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1013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F7A93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E32CB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63F9" w14:textId="77777777" w:rsidR="00040837" w:rsidRPr="00D94F21" w:rsidRDefault="00040837" w:rsidP="00EF2792">
            <w:pPr>
              <w:spacing w:after="200"/>
              <w:rPr>
                <w:rFonts w:cs="Book Antiqua"/>
                <w:b/>
                <w:bCs/>
              </w:rPr>
            </w:pPr>
            <w:r w:rsidRPr="00D94F21">
              <w:rPr>
                <w:rFonts w:cs="Book Antiqua"/>
                <w:b/>
                <w:bCs/>
              </w:rPr>
              <w:t>Pénzügyi</w:t>
            </w:r>
          </w:p>
        </w:tc>
      </w:tr>
      <w:tr w:rsidR="00040837" w:rsidRPr="00D94F21" w14:paraId="065C75F5" w14:textId="77777777" w:rsidTr="00EF2792">
        <w:trPr>
          <w:trHeight w:val="2141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CCA99" w14:textId="0B1D3666" w:rsidR="00040837" w:rsidRPr="00D94F21" w:rsidRDefault="00040837" w:rsidP="00EF2792">
            <w:pPr>
              <w:spacing w:after="200"/>
              <w:rPr>
                <w:rFonts w:cs="Book Antiqua"/>
              </w:rPr>
            </w:pPr>
            <w:r>
              <w:rPr>
                <w:rFonts w:cs="Book Antiqua"/>
              </w:rPr>
              <w:t xml:space="preserve">A </w:t>
            </w:r>
            <w:r w:rsidRPr="00D94F21">
              <w:rPr>
                <w:rFonts w:cs="Book Antiqua"/>
              </w:rPr>
              <w:t>személyi feltételek</w:t>
            </w:r>
            <w:r>
              <w:rPr>
                <w:rFonts w:cs="Book Antiqua"/>
              </w:rPr>
              <w:t xml:space="preserve"> rendelkezésre állnak. 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0A19" w14:textId="77777777" w:rsidR="00040837" w:rsidRPr="00D94F21" w:rsidRDefault="00040837" w:rsidP="00EF2792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15BF6" w14:textId="77777777" w:rsidR="00040837" w:rsidRPr="00D94F21" w:rsidRDefault="00040837" w:rsidP="00EF2792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tárgyi erőforrásokat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E860" w14:textId="77777777" w:rsidR="00040837" w:rsidRPr="00D94F21" w:rsidRDefault="00040837" w:rsidP="00EF2792">
            <w:pPr>
              <w:spacing w:after="200"/>
              <w:rPr>
                <w:rFonts w:cs="Book Antiqua"/>
              </w:rPr>
            </w:pPr>
            <w:r w:rsidRPr="00D94F21">
              <w:rPr>
                <w:rFonts w:cs="Book Antiqua"/>
              </w:rPr>
              <w:t>Nem igényel további pénzügyi erőforrásokat.</w:t>
            </w:r>
          </w:p>
        </w:tc>
      </w:tr>
    </w:tbl>
    <w:p w14:paraId="2425EBA2" w14:textId="77777777" w:rsidR="00040837" w:rsidRPr="00D94F21" w:rsidRDefault="00040837" w:rsidP="00040837">
      <w:pPr>
        <w:tabs>
          <w:tab w:val="center" w:pos="6521"/>
        </w:tabs>
      </w:pPr>
    </w:p>
    <w:p w14:paraId="5DCD5F18" w14:textId="77777777" w:rsidR="00040837" w:rsidRPr="00D94F21" w:rsidRDefault="00040837" w:rsidP="00040837"/>
    <w:p w14:paraId="2AC6133B" w14:textId="77777777" w:rsidR="00040837" w:rsidRDefault="00040837" w:rsidP="00040837">
      <w:pPr>
        <w:spacing w:after="160" w:line="259" w:lineRule="auto"/>
      </w:pPr>
      <w:r>
        <w:br w:type="page"/>
      </w:r>
    </w:p>
    <w:p w14:paraId="7D4E354F" w14:textId="3EBE1619" w:rsidR="00AF4A31" w:rsidRDefault="00AF4A31" w:rsidP="00AF4A31"/>
    <w:p w14:paraId="1D6293ED" w14:textId="69D1B294" w:rsidR="00040837" w:rsidRDefault="00040837" w:rsidP="00AF4A31"/>
    <w:p w14:paraId="2CBCBC8C" w14:textId="5F9A0619" w:rsidR="00040837" w:rsidRDefault="00040837" w:rsidP="00AF4A31"/>
    <w:p w14:paraId="32E8D29C" w14:textId="77777777" w:rsidR="00040837" w:rsidRDefault="00040837" w:rsidP="00AF4A31"/>
    <w:p w14:paraId="22569AAD" w14:textId="77777777" w:rsidR="00AF4A31" w:rsidRPr="00AF4A31" w:rsidRDefault="00AF4A31" w:rsidP="00AF4A31">
      <w:pPr>
        <w:jc w:val="center"/>
        <w:rPr>
          <w:b/>
          <w:bCs/>
        </w:rPr>
      </w:pPr>
      <w:r w:rsidRPr="00AF4A31">
        <w:rPr>
          <w:b/>
          <w:bCs/>
        </w:rPr>
        <w:t>Általános indokolás</w:t>
      </w:r>
    </w:p>
    <w:p w14:paraId="36CFF49E" w14:textId="77777777" w:rsidR="00AF4A31" w:rsidRPr="00AF4A31" w:rsidRDefault="00AF4A31" w:rsidP="00AF4A31">
      <w:pPr>
        <w:jc w:val="center"/>
        <w:rPr>
          <w:rFonts w:eastAsia="Times New Roman" w:cs="Times New Roman"/>
          <w:b/>
          <w:lang w:eastAsia="hu-HU"/>
        </w:rPr>
      </w:pPr>
      <w:r w:rsidRPr="00AF4A31">
        <w:rPr>
          <w:rFonts w:eastAsia="Times New Roman" w:cs="Times New Roman"/>
          <w:b/>
          <w:lang w:eastAsia="hu-HU"/>
        </w:rPr>
        <w:t>Keszthely Város Önkormányzata Képviselő-testülete</w:t>
      </w:r>
    </w:p>
    <w:p w14:paraId="62E8161B" w14:textId="77777777" w:rsidR="00AF4A31" w:rsidRPr="00AF4A31" w:rsidRDefault="00AF4A31" w:rsidP="00AF4A31">
      <w:pPr>
        <w:jc w:val="center"/>
        <w:rPr>
          <w:rFonts w:eastAsia="Times New Roman" w:cs="Times New Roman"/>
          <w:b/>
          <w:lang w:eastAsia="hu-HU"/>
        </w:rPr>
      </w:pPr>
      <w:proofErr w:type="gramStart"/>
      <w:r w:rsidRPr="00AF4A31">
        <w:rPr>
          <w:rFonts w:eastAsia="Times New Roman" w:cs="Times New Roman"/>
          <w:b/>
          <w:lang w:eastAsia="hu-HU"/>
        </w:rPr>
        <w:t>….</w:t>
      </w:r>
      <w:proofErr w:type="gramEnd"/>
      <w:r w:rsidRPr="00AF4A31">
        <w:rPr>
          <w:rFonts w:eastAsia="Times New Roman" w:cs="Times New Roman"/>
          <w:b/>
          <w:lang w:eastAsia="hu-HU"/>
        </w:rPr>
        <w:t>/2020. (…) önkormányzati rendelete</w:t>
      </w:r>
    </w:p>
    <w:p w14:paraId="7CA4F94C" w14:textId="77777777" w:rsidR="00AF4A31" w:rsidRPr="00AF4A31" w:rsidRDefault="00AF4A31" w:rsidP="00AF4A31">
      <w:pPr>
        <w:jc w:val="center"/>
        <w:rPr>
          <w:rFonts w:eastAsia="Calibri" w:cs="Times New Roman"/>
          <w:b/>
        </w:rPr>
      </w:pPr>
      <w:r w:rsidRPr="00AF4A31">
        <w:rPr>
          <w:rFonts w:eastAsia="Calibri" w:cs="Times New Roman"/>
          <w:b/>
        </w:rPr>
        <w:t>a közterület használatának szabályozásáról szóló</w:t>
      </w:r>
    </w:p>
    <w:p w14:paraId="5FFCE39A" w14:textId="77777777" w:rsidR="00AF4A31" w:rsidRPr="00AF4A31" w:rsidRDefault="00AF4A31" w:rsidP="00AF4A31">
      <w:pPr>
        <w:jc w:val="center"/>
        <w:rPr>
          <w:rFonts w:eastAsia="Calibri" w:cs="Times New Roman"/>
          <w:b/>
        </w:rPr>
      </w:pPr>
      <w:r w:rsidRPr="00AF4A31">
        <w:rPr>
          <w:rFonts w:eastAsia="Calibri" w:cs="Times New Roman"/>
          <w:b/>
        </w:rPr>
        <w:t>47/2013. (XII.13.) önkormányzati rendelet módosításáról</w:t>
      </w:r>
    </w:p>
    <w:p w14:paraId="03B462B1" w14:textId="77777777" w:rsidR="00AF4A31" w:rsidRPr="00AF4A31" w:rsidRDefault="00AF4A31" w:rsidP="00AF4A31">
      <w:pPr>
        <w:jc w:val="center"/>
        <w:rPr>
          <w:rFonts w:eastAsia="Calibri" w:cs="Times New Roman"/>
          <w:b/>
        </w:rPr>
      </w:pPr>
      <w:r w:rsidRPr="00AF4A31">
        <w:rPr>
          <w:rFonts w:eastAsia="Calibri" w:cs="Times New Roman"/>
          <w:b/>
        </w:rPr>
        <w:t xml:space="preserve">(Rendelet-tervezet) </w:t>
      </w:r>
    </w:p>
    <w:p w14:paraId="4A6599F4" w14:textId="77777777" w:rsidR="00AF4A31" w:rsidRDefault="00AF4A31" w:rsidP="00AF4A31"/>
    <w:p w14:paraId="361A5A5D" w14:textId="77777777" w:rsidR="00AF4A31" w:rsidRDefault="00AF4A31" w:rsidP="00AF4A31"/>
    <w:p w14:paraId="2C0981EB" w14:textId="77777777" w:rsidR="00AF4A31" w:rsidRDefault="00AF4A31" w:rsidP="00AF4A31">
      <w:pPr>
        <w:jc w:val="both"/>
      </w:pPr>
      <w:r>
        <w:t>A közterület-használat önkormányzati hatósági üggyé minősítése okán, a hatósági eljárás alapvető feltételeinek megteremtése érdekében szükséges a korábbi polgári jogi szabályozás felváltása; ennek tesz eleget a rendeletmódosítás.</w:t>
      </w:r>
    </w:p>
    <w:p w14:paraId="03C9EFF0" w14:textId="77777777" w:rsidR="00AF4A31" w:rsidRDefault="00AF4A31" w:rsidP="00AF4A31"/>
    <w:p w14:paraId="75067C50" w14:textId="6F78977E" w:rsidR="00AF4A31" w:rsidRDefault="00AF4A31" w:rsidP="00AF4A31">
      <w:pPr>
        <w:jc w:val="both"/>
      </w:pPr>
      <w:r>
        <w:t xml:space="preserve">A rendelettervezethez a jogalkotásról szóló 2010. évi CXXX. törvény (a továbbiakban: </w:t>
      </w:r>
      <w:proofErr w:type="spellStart"/>
      <w:r>
        <w:t>Jat</w:t>
      </w:r>
      <w:proofErr w:type="spellEnd"/>
      <w:r>
        <w:t xml:space="preserve">.) 17. § előírásainak megfelelően hatásvizsgálat készült. </w:t>
      </w:r>
    </w:p>
    <w:p w14:paraId="14DBF6C3" w14:textId="77777777" w:rsidR="00AF4A31" w:rsidRDefault="00AF4A31" w:rsidP="00AF4A31"/>
    <w:p w14:paraId="55964751" w14:textId="4852A10C" w:rsidR="00AF4A31" w:rsidRDefault="00AF4A31" w:rsidP="00AF4A31">
      <w:pPr>
        <w:jc w:val="center"/>
        <w:rPr>
          <w:b/>
          <w:bCs/>
        </w:rPr>
      </w:pPr>
      <w:r w:rsidRPr="00AF4A31">
        <w:rPr>
          <w:b/>
          <w:bCs/>
        </w:rPr>
        <w:t>Részletes indokolás</w:t>
      </w:r>
    </w:p>
    <w:p w14:paraId="24F9357C" w14:textId="77777777" w:rsidR="00AF4A31" w:rsidRPr="00AF4A31" w:rsidRDefault="00AF4A31" w:rsidP="00AF4A31">
      <w:pPr>
        <w:jc w:val="center"/>
        <w:rPr>
          <w:b/>
          <w:bCs/>
        </w:rPr>
      </w:pPr>
    </w:p>
    <w:p w14:paraId="013ADC46" w14:textId="77777777" w:rsidR="00AF4A31" w:rsidRDefault="00AF4A31" w:rsidP="00AF4A31">
      <w:pPr>
        <w:jc w:val="both"/>
      </w:pPr>
      <w:r>
        <w:t>1. §-hoz</w:t>
      </w:r>
    </w:p>
    <w:p w14:paraId="75026F12" w14:textId="3382CB9D" w:rsidR="00AF4A31" w:rsidRDefault="00AF4A31" w:rsidP="00AF4A31">
      <w:pPr>
        <w:jc w:val="both"/>
      </w:pPr>
      <w:r>
        <w:t xml:space="preserve">A településképi rendelet rendelkezéseinek </w:t>
      </w:r>
      <w:proofErr w:type="gramStart"/>
      <w:r>
        <w:t>figyelembe vételét</w:t>
      </w:r>
      <w:proofErr w:type="gramEnd"/>
      <w:r>
        <w:t xml:space="preserve"> írja elő közterület-használat esetén. </w:t>
      </w:r>
    </w:p>
    <w:p w14:paraId="3BCA250B" w14:textId="77777777" w:rsidR="00AF4A31" w:rsidRDefault="00AF4A31" w:rsidP="00AF4A31"/>
    <w:p w14:paraId="796BF687" w14:textId="77777777" w:rsidR="00AF4A31" w:rsidRDefault="00AF4A31" w:rsidP="00AF4A31">
      <w:r>
        <w:t>2. §-hoz</w:t>
      </w:r>
    </w:p>
    <w:p w14:paraId="4CAA9B06" w14:textId="54FBFD1F" w:rsidR="00AF4A31" w:rsidRDefault="00AF4A31" w:rsidP="00AF4A31">
      <w:pPr>
        <w:jc w:val="both"/>
      </w:pPr>
      <w:r>
        <w:t>A közterület-használat meghatározását, annak önkormányzati hatósági ügyként való kezelését írja elő a rendelkezés, biztosítva a hatósági szerződés megkötését is, ami az általános közigazgatási rendtartásról szóló 2016. évi CL. törvény szerint írásbeli hatósági szerződés.</w:t>
      </w:r>
    </w:p>
    <w:p w14:paraId="622A7E34" w14:textId="77777777" w:rsidR="00AF4A31" w:rsidRDefault="00AF4A31" w:rsidP="00AF4A31">
      <w:pPr>
        <w:jc w:val="both"/>
      </w:pPr>
    </w:p>
    <w:p w14:paraId="1FDF0F06" w14:textId="77777777" w:rsidR="00AF4A31" w:rsidRDefault="00AF4A31" w:rsidP="00AF4A31">
      <w:r>
        <w:t>3-4. §-hoz</w:t>
      </w:r>
    </w:p>
    <w:p w14:paraId="4B5012F3" w14:textId="77777777" w:rsidR="00AF4A31" w:rsidRDefault="00AF4A31" w:rsidP="00AF4A31">
      <w:r>
        <w:t>A közterület-használati kérelem tartalmát és formáját határozza meg a rendelkezés.</w:t>
      </w:r>
    </w:p>
    <w:p w14:paraId="59F3CFD7" w14:textId="77777777" w:rsidR="00AF4A31" w:rsidRDefault="00AF4A31" w:rsidP="00AF4A31"/>
    <w:p w14:paraId="79794398" w14:textId="77777777" w:rsidR="00AF4A31" w:rsidRDefault="00AF4A31" w:rsidP="00AF4A31">
      <w:r>
        <w:t>5. §-hoz</w:t>
      </w:r>
    </w:p>
    <w:p w14:paraId="4C16D470" w14:textId="77777777" w:rsidR="00AF4A31" w:rsidRDefault="00AF4A31" w:rsidP="00AF4A31">
      <w:r>
        <w:t>A hatósági szerződés alá nem írására vonatkozó okafogyottá válás szabályait tartalmazza a rendelkezés.</w:t>
      </w:r>
    </w:p>
    <w:p w14:paraId="278CE6DA" w14:textId="77777777" w:rsidR="00AF4A31" w:rsidRPr="00AF4A31" w:rsidRDefault="00AF4A31" w:rsidP="00AF4A31">
      <w:pPr>
        <w:rPr>
          <w:color w:val="FF0000"/>
        </w:rPr>
      </w:pPr>
    </w:p>
    <w:p w14:paraId="638100AD" w14:textId="77777777" w:rsidR="00AF4A31" w:rsidRDefault="00AF4A31" w:rsidP="00AF4A31">
      <w:r>
        <w:t>6. §-hoz</w:t>
      </w:r>
    </w:p>
    <w:p w14:paraId="05170333" w14:textId="77796152" w:rsidR="00AF4A31" w:rsidRPr="00AF4A31" w:rsidRDefault="00AF4A31" w:rsidP="00AF4A31">
      <w:pPr>
        <w:jc w:val="both"/>
        <w:rPr>
          <w:color w:val="FF0000"/>
        </w:rPr>
      </w:pPr>
      <w:r>
        <w:t xml:space="preserve">A közterület-használati hatósági szerződés tartalmi elemeit pontosítja a rendelkezés, valamint </w:t>
      </w:r>
      <w:r w:rsidRPr="00AF4A31">
        <w:t>azoknak az eseteknek a körét egészíti ki a rendelkezés a hatósági eljárás szabályaihoz illeszkedve, amelyek szerint nem adható közterület-használati hozzájárulás.</w:t>
      </w:r>
    </w:p>
    <w:p w14:paraId="188DCCBB" w14:textId="77777777" w:rsidR="00AF4A31" w:rsidRDefault="00AF4A31" w:rsidP="00AF4A31"/>
    <w:p w14:paraId="12F3E11A" w14:textId="77777777" w:rsidR="00AF4A31" w:rsidRDefault="00AF4A31" w:rsidP="00AF4A31">
      <w:r>
        <w:t>7. §-hoz</w:t>
      </w:r>
    </w:p>
    <w:p w14:paraId="3C1F0C45" w14:textId="77777777" w:rsidR="00AF4A31" w:rsidRDefault="00AF4A31" w:rsidP="00AF4A31">
      <w:r>
        <w:t>A közterület-használati díj megállapításának szabályait tartalmazza a rendelkezés, összhangban az önkormányzati hatósági ügykezeléssel.</w:t>
      </w:r>
    </w:p>
    <w:p w14:paraId="35152842" w14:textId="77777777" w:rsidR="00AF4A31" w:rsidRDefault="00AF4A31" w:rsidP="00AF4A31"/>
    <w:p w14:paraId="07B64E49" w14:textId="77777777" w:rsidR="00AF4A31" w:rsidRDefault="00AF4A31" w:rsidP="00AF4A31">
      <w:r>
        <w:t>8. §-hoz</w:t>
      </w:r>
    </w:p>
    <w:p w14:paraId="4E80689E" w14:textId="5383D27D" w:rsidR="00AF4A31" w:rsidRDefault="00AF4A31" w:rsidP="00AF4A31">
      <w:r>
        <w:t xml:space="preserve">A díjfizetéssel kapcsolatban a polgármester részére rendelkezésre álló méltányossági jogkört pontosítja a rendelkezés. </w:t>
      </w:r>
    </w:p>
    <w:p w14:paraId="18132241" w14:textId="77777777" w:rsidR="00AF4A31" w:rsidRDefault="00AF4A31" w:rsidP="00AF4A31"/>
    <w:p w14:paraId="2F3A47BF" w14:textId="77817C05" w:rsidR="00AF4A31" w:rsidRDefault="00AF4A31" w:rsidP="00AF4A31">
      <w:r>
        <w:t>9. §-hoz</w:t>
      </w:r>
    </w:p>
    <w:p w14:paraId="3D7FBDC8" w14:textId="11705885" w:rsidR="00AF4A31" w:rsidRDefault="00AF4A31" w:rsidP="00AF4A31">
      <w:r>
        <w:lastRenderedPageBreak/>
        <w:t xml:space="preserve">Időközben bekövetkezett hatásköri változás átvezetése, illetve a településképi rendeletben meghatározottak </w:t>
      </w:r>
      <w:proofErr w:type="gramStart"/>
      <w:r>
        <w:t>figyelembe vételének</w:t>
      </w:r>
      <w:proofErr w:type="gramEnd"/>
      <w:r>
        <w:t xml:space="preserve"> előírása. </w:t>
      </w:r>
    </w:p>
    <w:p w14:paraId="331E6FB4" w14:textId="77777777" w:rsidR="00AF4A31" w:rsidRDefault="00AF4A31" w:rsidP="00AF4A31"/>
    <w:p w14:paraId="31B01B84" w14:textId="77777777" w:rsidR="00AF4A31" w:rsidRDefault="00AF4A31" w:rsidP="00AF4A31">
      <w:r>
        <w:t>10. §-hoz</w:t>
      </w:r>
    </w:p>
    <w:p w14:paraId="4C1C6999" w14:textId="6A47B721" w:rsidR="00AF4A31" w:rsidRDefault="00AF4A31" w:rsidP="00AF4A31">
      <w:r>
        <w:t>A közterület-használati szerződés megszűnésére vonatkozó rendelkezéseket állapítja meg.</w:t>
      </w:r>
    </w:p>
    <w:p w14:paraId="790BF9D4" w14:textId="77777777" w:rsidR="00AF4A31" w:rsidRDefault="00AF4A31" w:rsidP="00AF4A31"/>
    <w:p w14:paraId="5B7C45C1" w14:textId="77777777" w:rsidR="00AF4A31" w:rsidRDefault="00AF4A31" w:rsidP="00AF4A31">
      <w:r>
        <w:t>11. §-hoz</w:t>
      </w:r>
    </w:p>
    <w:p w14:paraId="1F43B2CD" w14:textId="77777777" w:rsidR="00AF4A31" w:rsidRPr="00AF4A31" w:rsidRDefault="00AF4A31" w:rsidP="00AF4A31">
      <w:r w:rsidRPr="00AF4A31">
        <w:t>A jogellenes közterület-használat tényállását és következményét rögzíti a rendelkezés.</w:t>
      </w:r>
    </w:p>
    <w:p w14:paraId="3F802DE0" w14:textId="77777777" w:rsidR="00AF4A31" w:rsidRPr="00AF4A31" w:rsidRDefault="00AF4A31" w:rsidP="00AF4A31"/>
    <w:p w14:paraId="336CC7D0" w14:textId="77777777" w:rsidR="00AF4A31" w:rsidRDefault="00AF4A31" w:rsidP="00AF4A31">
      <w:r>
        <w:t>12. §-hoz</w:t>
      </w:r>
    </w:p>
    <w:p w14:paraId="6F3A3D71" w14:textId="216572C9" w:rsidR="00AF4A31" w:rsidRDefault="00AF4A31" w:rsidP="00AF4A31">
      <w:r>
        <w:t>A rendelkezés a szankciók körét rögzíti.</w:t>
      </w:r>
    </w:p>
    <w:p w14:paraId="285411D0" w14:textId="77777777" w:rsidR="00AF4A31" w:rsidRDefault="00AF4A31" w:rsidP="00AF4A31"/>
    <w:p w14:paraId="3C3C127C" w14:textId="77777777" w:rsidR="00AF4A31" w:rsidRDefault="00AF4A31" w:rsidP="00AF4A31">
      <w:r>
        <w:t>13. §-hoz</w:t>
      </w:r>
    </w:p>
    <w:p w14:paraId="2EFAF553" w14:textId="4E24A010" w:rsidR="00AF4A31" w:rsidRDefault="00AF4A31" w:rsidP="00AF4A31">
      <w:r>
        <w:t>A rendelkezés az adatkezelésre vonatkozó rendelkezéseket rögzíti</w:t>
      </w:r>
    </w:p>
    <w:p w14:paraId="11F24988" w14:textId="77777777" w:rsidR="00AF4A31" w:rsidRDefault="00AF4A31" w:rsidP="00AF4A31"/>
    <w:p w14:paraId="16FBADD1" w14:textId="78DCD079" w:rsidR="00AF4A31" w:rsidRDefault="00AF4A31" w:rsidP="00AF4A31">
      <w:r>
        <w:t>14. §-hoz</w:t>
      </w:r>
    </w:p>
    <w:p w14:paraId="5047E25F" w14:textId="77777777" w:rsidR="00AF4A31" w:rsidRDefault="00AF4A31" w:rsidP="00AF4A31">
      <w:r>
        <w:t>A rendelkezés az önkormányzati hatósági ügykezeléshez szükséges új kérelemnyomtatványt tartalmazza.</w:t>
      </w:r>
    </w:p>
    <w:p w14:paraId="70C4403C" w14:textId="77777777" w:rsidR="00AF4A31" w:rsidRDefault="00AF4A31" w:rsidP="00AF4A31"/>
    <w:p w14:paraId="33E122F3" w14:textId="2F2FA2B6" w:rsidR="00AF4A31" w:rsidRDefault="00AF4A31" w:rsidP="00AF4A31">
      <w:r>
        <w:t>15. §-hoz</w:t>
      </w:r>
    </w:p>
    <w:p w14:paraId="5F06A682" w14:textId="77777777" w:rsidR="00AF4A31" w:rsidRDefault="00AF4A31" w:rsidP="00AF4A31">
      <w:pPr>
        <w:jc w:val="both"/>
      </w:pPr>
      <w:r>
        <w:t>Az önkormányzati hatósági ügy bevezetése okán okafogyottá váló, kifejezetten a tulajdonosi jogkörhöz kapcsolódó szabályok törléséről szól a rendelkezés.</w:t>
      </w:r>
    </w:p>
    <w:p w14:paraId="08F2D8E6" w14:textId="522AA040" w:rsidR="00AF4A31" w:rsidRDefault="00AF4A31" w:rsidP="00AF4A31">
      <w:pPr>
        <w:jc w:val="both"/>
      </w:pPr>
      <w:r>
        <w:t>Továbbá a rendelet módosításához kapcsolódó SZMSZ-módosítás jogtechnikai átvezetését, illetve a hatályba léptető és a hatályon kívül helyező rendelkezéseket tartalmazza.</w:t>
      </w:r>
    </w:p>
    <w:p w14:paraId="25B082D4" w14:textId="4987E93B" w:rsidR="009E65F2" w:rsidRDefault="00AF4A31" w:rsidP="00AF4A31">
      <w:r>
        <w:t>.</w:t>
      </w:r>
    </w:p>
    <w:sectPr w:rsidR="009E6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31"/>
    <w:rsid w:val="00040837"/>
    <w:rsid w:val="00071B77"/>
    <w:rsid w:val="009E65F2"/>
    <w:rsid w:val="00A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DBF2"/>
  <w15:chartTrackingRefBased/>
  <w15:docId w15:val="{C50E624E-22EC-481B-8D62-ABE39353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492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Skoda Lilla</dc:creator>
  <cp:keywords/>
  <dc:description/>
  <cp:lastModifiedBy>Dr. Skoda Lilla</cp:lastModifiedBy>
  <cp:revision>2</cp:revision>
  <cp:lastPrinted>2020-11-23T09:05:00Z</cp:lastPrinted>
  <dcterms:created xsi:type="dcterms:W3CDTF">2020-11-23T04:56:00Z</dcterms:created>
  <dcterms:modified xsi:type="dcterms:W3CDTF">2020-11-23T09:05:00Z</dcterms:modified>
</cp:coreProperties>
</file>