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05" w:rsidRDefault="001D6D61">
      <w:pPr>
        <w:pStyle w:val="Cmsor1"/>
        <w:spacing w:before="56"/>
        <w:ind w:left="116" w:right="3788"/>
        <w:jc w:val="left"/>
      </w:pPr>
      <w:r>
        <w:t xml:space="preserve">3. </w:t>
      </w:r>
      <w:proofErr w:type="spellStart"/>
      <w:proofErr w:type="gramStart"/>
      <w:r>
        <w:t>melléklet</w:t>
      </w:r>
      <w:proofErr w:type="spellEnd"/>
      <w:proofErr w:type="gramEnd"/>
      <w:r>
        <w:t xml:space="preserve"> a 8/2017. </w:t>
      </w:r>
      <w:proofErr w:type="gramStart"/>
      <w:r>
        <w:t>(III. 28.)</w:t>
      </w:r>
      <w:proofErr w:type="gramEnd"/>
      <w:r>
        <w:t xml:space="preserve"> XI.ÖK </w:t>
      </w:r>
      <w:proofErr w:type="spellStart"/>
      <w:r>
        <w:t>rendelethez</w:t>
      </w:r>
      <w:proofErr w:type="spellEnd"/>
      <w:r>
        <w:t xml:space="preserve"> </w:t>
      </w:r>
    </w:p>
    <w:p w:rsidR="001D6D61" w:rsidRDefault="001D6D61">
      <w:pPr>
        <w:pStyle w:val="Cmsor1"/>
        <w:spacing w:before="56"/>
        <w:ind w:left="116" w:right="3788"/>
        <w:jc w:val="left"/>
      </w:pPr>
      <w:bookmarkStart w:id="0" w:name="_GoBack"/>
      <w:bookmarkEnd w:id="0"/>
      <w:proofErr w:type="spellStart"/>
      <w:r>
        <w:t>Az</w:t>
      </w:r>
      <w:proofErr w:type="spellEnd"/>
      <w:r>
        <w:t xml:space="preserve"> </w:t>
      </w:r>
      <w:proofErr w:type="spellStart"/>
      <w:r>
        <w:t>alkalmazott</w:t>
      </w:r>
      <w:proofErr w:type="spell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övezetek</w:t>
      </w:r>
      <w:proofErr w:type="spellEnd"/>
      <w:r>
        <w:t xml:space="preserve"> </w:t>
      </w:r>
      <w:proofErr w:type="spellStart"/>
      <w:r>
        <w:t>jeleinek</w:t>
      </w:r>
      <w:proofErr w:type="spellEnd"/>
      <w:r>
        <w:t xml:space="preserve"> </w:t>
      </w:r>
      <w:proofErr w:type="spellStart"/>
      <w:r>
        <w:t>ismertetése</w:t>
      </w:r>
      <w:proofErr w:type="spellEnd"/>
    </w:p>
    <w:p w:rsidR="001D6D61" w:rsidRDefault="001D6D61">
      <w:pPr>
        <w:pStyle w:val="Szvegtrzs"/>
        <w:spacing w:before="6"/>
        <w:ind w:left="0"/>
        <w:jc w:val="left"/>
        <w:rPr>
          <w:b/>
          <w:sz w:val="23"/>
        </w:rPr>
      </w:pPr>
    </w:p>
    <w:p w:rsidR="001D6D61" w:rsidRDefault="001D6D61">
      <w:pPr>
        <w:pStyle w:val="Szvegtrzs"/>
        <w:ind w:right="116"/>
      </w:pPr>
      <w:r>
        <w:t xml:space="preserve">A </w:t>
      </w:r>
      <w:proofErr w:type="spellStart"/>
      <w:r>
        <w:t>Kerületi</w:t>
      </w:r>
      <w:proofErr w:type="spell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Szabályzatban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Szabályozási</w:t>
      </w:r>
      <w:proofErr w:type="spellEnd"/>
      <w:r>
        <w:t xml:space="preserve"> </w:t>
      </w:r>
      <w:proofErr w:type="spellStart"/>
      <w:r>
        <w:t>Terven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övezeteket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minta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értelmezni</w:t>
      </w:r>
      <w:proofErr w:type="spellEnd"/>
      <w:r>
        <w:t>:</w:t>
      </w:r>
    </w:p>
    <w:p w:rsidR="001D6D61" w:rsidRDefault="001D6D61">
      <w:pPr>
        <w:pStyle w:val="Szvegtrzs"/>
        <w:spacing w:before="6"/>
        <w:ind w:left="0"/>
        <w:jc w:val="left"/>
        <w:rPr>
          <w:sz w:val="28"/>
        </w:rPr>
      </w:pPr>
    </w:p>
    <w:p w:rsidR="001D6D61" w:rsidRDefault="001D6D61">
      <w:pPr>
        <w:pStyle w:val="Cmsor1"/>
        <w:spacing w:before="1"/>
      </w:pPr>
      <w:r>
        <w:t>Lk-2-XI-L-01</w:t>
      </w:r>
    </w:p>
    <w:p w:rsidR="001D6D61" w:rsidRDefault="001D6D61">
      <w:pPr>
        <w:ind w:left="3015" w:right="3015"/>
        <w:jc w:val="center"/>
        <w:rPr>
          <w:b/>
          <w:sz w:val="24"/>
        </w:rPr>
      </w:pPr>
      <w:r>
        <w:rPr>
          <w:b/>
          <w:sz w:val="24"/>
        </w:rPr>
        <w:t>1000-SZ-15-25-ém: - -7</w:t>
      </w:r>
      <w:proofErr w:type="gramStart"/>
      <w:r>
        <w:rPr>
          <w:b/>
          <w:sz w:val="24"/>
        </w:rPr>
        <w:t>,5</w:t>
      </w:r>
      <w:proofErr w:type="gramEnd"/>
      <w:r>
        <w:rPr>
          <w:b/>
          <w:sz w:val="24"/>
        </w:rPr>
        <w:t>-0,4-75</w:t>
      </w:r>
    </w:p>
    <w:p w:rsidR="001D6D61" w:rsidRDefault="001D6D61">
      <w:pPr>
        <w:pStyle w:val="Szvegtrzs"/>
        <w:spacing w:before="5"/>
        <w:ind w:left="0"/>
        <w:jc w:val="left"/>
        <w:rPr>
          <w:b/>
          <w:sz w:val="21"/>
        </w:rPr>
      </w:pP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374"/>
        </w:tabs>
        <w:ind w:right="121" w:firstLine="0"/>
        <w:rPr>
          <w:sz w:val="24"/>
        </w:rPr>
      </w:pPr>
      <w:r>
        <w:rPr>
          <w:sz w:val="24"/>
        </w:rPr>
        <w:t xml:space="preserve">„Lk-2”: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Fővárosi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Településszerkezeti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Tervben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meghatározott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területfelhasználási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módok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sajátos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használat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szerinti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jelei</w:t>
      </w:r>
      <w:proofErr w:type="spellEnd"/>
      <w:r>
        <w:rPr>
          <w:sz w:val="24"/>
        </w:rPr>
        <w:t>. (pl.: Vi-2,</w:t>
      </w:r>
      <w:r>
        <w:rPr>
          <w:spacing w:val="-6"/>
          <w:sz w:val="24"/>
        </w:rPr>
        <w:t xml:space="preserve"> </w:t>
      </w:r>
      <w:r>
        <w:rPr>
          <w:sz w:val="24"/>
        </w:rPr>
        <w:t>Lk-2…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.)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357"/>
        </w:tabs>
        <w:ind w:left="356" w:hanging="240"/>
        <w:rPr>
          <w:sz w:val="24"/>
        </w:rPr>
      </w:pPr>
      <w:r>
        <w:rPr>
          <w:sz w:val="24"/>
        </w:rPr>
        <w:t xml:space="preserve">„XI”: a Kerület </w:t>
      </w:r>
      <w:proofErr w:type="spellStart"/>
      <w:r>
        <w:rPr>
          <w:sz w:val="24"/>
        </w:rPr>
        <w:t>száma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Fővároson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belüli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elhelyezkedése</w:t>
      </w:r>
      <w:proofErr w:type="spellEnd"/>
      <w:r>
        <w:rPr>
          <w:sz w:val="24"/>
        </w:rPr>
        <w:t>.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386"/>
        </w:tabs>
        <w:ind w:right="121" w:firstLine="0"/>
        <w:rPr>
          <w:sz w:val="24"/>
        </w:rPr>
      </w:pPr>
      <w:r>
        <w:rPr>
          <w:sz w:val="24"/>
        </w:rPr>
        <w:t xml:space="preserve">„L”: a </w:t>
      </w:r>
      <w:proofErr w:type="spellStart"/>
      <w:r>
        <w:rPr>
          <w:sz w:val="24"/>
        </w:rPr>
        <w:t>területfelhasználási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egységen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belüli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egyedi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csak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abban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esetben</w:t>
      </w:r>
      <w:proofErr w:type="spellEnd"/>
      <w:r>
        <w:rPr>
          <w:sz w:val="24"/>
        </w:rPr>
        <w:t xml:space="preserve">, ha van </w:t>
      </w:r>
      <w:proofErr w:type="spellStart"/>
      <w:r>
        <w:rPr>
          <w:sz w:val="24"/>
        </w:rPr>
        <w:t>ilyen</w:t>
      </w:r>
      <w:proofErr w:type="spellEnd"/>
      <w:r>
        <w:rPr>
          <w:sz w:val="24"/>
        </w:rPr>
        <w:t>).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357"/>
        </w:tabs>
        <w:ind w:left="356" w:hanging="240"/>
        <w:rPr>
          <w:sz w:val="24"/>
        </w:rPr>
      </w:pPr>
      <w:r>
        <w:rPr>
          <w:sz w:val="24"/>
        </w:rPr>
        <w:t xml:space="preserve">„01”: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eltérő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övezetek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sorszáma</w:t>
      </w:r>
      <w:proofErr w:type="spellEnd"/>
      <w:r>
        <w:rPr>
          <w:sz w:val="24"/>
        </w:rPr>
        <w:t>.</w:t>
      </w:r>
    </w:p>
    <w:p w:rsidR="001D6D61" w:rsidRDefault="001D6D61">
      <w:pPr>
        <w:pStyle w:val="Szvegtrzs"/>
        <w:ind w:left="0"/>
        <w:jc w:val="left"/>
      </w:pPr>
    </w:p>
    <w:p w:rsidR="001D6D61" w:rsidRDefault="001D6D61">
      <w:pPr>
        <w:pStyle w:val="Szvegtrzs"/>
        <w:ind w:right="120"/>
      </w:pPr>
      <w:r>
        <w:t xml:space="preserve">A </w:t>
      </w:r>
      <w:proofErr w:type="spellStart"/>
      <w:r>
        <w:t>szabályozási</w:t>
      </w:r>
      <w:proofErr w:type="spellEnd"/>
      <w:r>
        <w:t xml:space="preserve"> </w:t>
      </w:r>
      <w:proofErr w:type="spellStart"/>
      <w:r>
        <w:t>tervlapon</w:t>
      </w:r>
      <w:proofErr w:type="spellEnd"/>
      <w:r>
        <w:t xml:space="preserve"> </w:t>
      </w:r>
      <w:proofErr w:type="spellStart"/>
      <w:r>
        <w:t>tájékoztató</w:t>
      </w:r>
      <w:proofErr w:type="spellEnd"/>
      <w:r>
        <w:t xml:space="preserve"> </w:t>
      </w:r>
      <w:proofErr w:type="spellStart"/>
      <w:r>
        <w:t>elemeként</w:t>
      </w:r>
      <w:proofErr w:type="spellEnd"/>
      <w:r>
        <w:t xml:space="preserve"> </w:t>
      </w:r>
      <w:proofErr w:type="spellStart"/>
      <w:r>
        <w:t>feltüntetett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övezetekre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legfontosabb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paramétereket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értelmezni</w:t>
      </w:r>
      <w:proofErr w:type="spellEnd"/>
      <w:r>
        <w:t>: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357"/>
        </w:tabs>
        <w:ind w:left="356" w:hanging="240"/>
        <w:rPr>
          <w:sz w:val="24"/>
        </w:rPr>
      </w:pPr>
      <w:r>
        <w:rPr>
          <w:sz w:val="24"/>
        </w:rPr>
        <w:t xml:space="preserve">„1000”: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legkisebb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kialakítható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telekterület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m2-ben.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439"/>
        </w:tabs>
        <w:ind w:right="115" w:firstLine="0"/>
        <w:rPr>
          <w:sz w:val="24"/>
        </w:rPr>
      </w:pPr>
      <w:r>
        <w:rPr>
          <w:sz w:val="24"/>
        </w:rPr>
        <w:t xml:space="preserve">„SZ”: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övezet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módja</w:t>
      </w:r>
      <w:proofErr w:type="spellEnd"/>
      <w:r>
        <w:rPr>
          <w:sz w:val="24"/>
        </w:rPr>
        <w:t xml:space="preserve">. A 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mód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épületek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elhelyezésére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szolgáló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viszonya</w:t>
      </w:r>
      <w:proofErr w:type="spellEnd"/>
      <w:r>
        <w:rPr>
          <w:sz w:val="24"/>
        </w:rPr>
        <w:t>. (pl.: Z-</w:t>
      </w:r>
      <w:proofErr w:type="spellStart"/>
      <w:r>
        <w:rPr>
          <w:sz w:val="24"/>
        </w:rPr>
        <w:t>zártsorú</w:t>
      </w:r>
      <w:proofErr w:type="spellEnd"/>
      <w:r>
        <w:rPr>
          <w:sz w:val="24"/>
        </w:rPr>
        <w:t>, SZ-</w:t>
      </w:r>
      <w:proofErr w:type="spellStart"/>
      <w:r>
        <w:rPr>
          <w:sz w:val="24"/>
        </w:rPr>
        <w:t>szabadonálló</w:t>
      </w:r>
      <w:proofErr w:type="spellEnd"/>
      <w:r>
        <w:rPr>
          <w:sz w:val="24"/>
        </w:rPr>
        <w:t xml:space="preserve">, O- </w:t>
      </w:r>
      <w:proofErr w:type="spellStart"/>
      <w:r>
        <w:rPr>
          <w:sz w:val="24"/>
        </w:rPr>
        <w:t>oldalhatáron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álló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I-</w:t>
      </w:r>
      <w:proofErr w:type="spellStart"/>
      <w:r>
        <w:rPr>
          <w:sz w:val="24"/>
        </w:rPr>
        <w:t>ikres</w:t>
      </w:r>
      <w:proofErr w:type="spellEnd"/>
      <w:r>
        <w:rPr>
          <w:sz w:val="24"/>
        </w:rPr>
        <w:t>)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472"/>
        </w:tabs>
        <w:ind w:right="117" w:firstLine="0"/>
        <w:rPr>
          <w:sz w:val="24"/>
        </w:rPr>
      </w:pPr>
      <w:r>
        <w:rPr>
          <w:sz w:val="24"/>
        </w:rPr>
        <w:t xml:space="preserve">„15”: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megengedett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legnagyobb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terepszint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feletti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beépítettség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értéke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%). A 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%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építmények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bruttó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alapterületének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területéhezviszonyított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aránya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százalékban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kifejezve</w:t>
      </w:r>
      <w:proofErr w:type="spellEnd"/>
      <w:r>
        <w:rPr>
          <w:sz w:val="24"/>
        </w:rPr>
        <w:t>.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479"/>
        </w:tabs>
        <w:ind w:right="118" w:firstLine="0"/>
        <w:rPr>
          <w:sz w:val="24"/>
        </w:rPr>
      </w:pPr>
      <w:r>
        <w:rPr>
          <w:sz w:val="24"/>
        </w:rPr>
        <w:t xml:space="preserve">„25”: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megengedett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legnagyobb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terepszint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alatti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beépítettség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értéke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%). A 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%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építmények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bruttó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alapterületének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területéhezviszonyított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aránya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százalékban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kifejezve</w:t>
      </w:r>
      <w:proofErr w:type="spellEnd"/>
      <w:r>
        <w:rPr>
          <w:sz w:val="24"/>
        </w:rPr>
        <w:t>.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477"/>
        </w:tabs>
        <w:ind w:right="121" w:firstLine="0"/>
        <w:rPr>
          <w:sz w:val="24"/>
        </w:rPr>
      </w:pPr>
      <w:r>
        <w:rPr>
          <w:sz w:val="24"/>
        </w:rPr>
        <w:t>„</w:t>
      </w:r>
      <w:proofErr w:type="spellStart"/>
      <w:proofErr w:type="gramStart"/>
      <w:r>
        <w:rPr>
          <w:sz w:val="24"/>
        </w:rPr>
        <w:t>ém</w:t>
      </w:r>
      <w:proofErr w:type="spellEnd"/>
      <w:proofErr w:type="gramEnd"/>
      <w:r>
        <w:rPr>
          <w:sz w:val="24"/>
        </w:rPr>
        <w:t xml:space="preserve">”: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szabályozott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magasság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kategóriájának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meghatározása</w:t>
      </w:r>
      <w:proofErr w:type="spellEnd"/>
      <w:r>
        <w:rPr>
          <w:sz w:val="24"/>
        </w:rPr>
        <w:t>. (</w:t>
      </w:r>
      <w:proofErr w:type="spellStart"/>
      <w:r>
        <w:rPr>
          <w:sz w:val="24"/>
        </w:rPr>
        <w:t>ém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épületmagasság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hm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homlokzatmagasság</w:t>
      </w:r>
      <w:proofErr w:type="spellEnd"/>
      <w:r>
        <w:rPr>
          <w:sz w:val="24"/>
        </w:rPr>
        <w:t>, pm: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párkánymagasság</w:t>
      </w:r>
      <w:proofErr w:type="spellEnd"/>
      <w:r>
        <w:rPr>
          <w:sz w:val="24"/>
        </w:rPr>
        <w:t>)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559"/>
        </w:tabs>
        <w:ind w:right="115" w:firstLine="0"/>
        <w:rPr>
          <w:sz w:val="24"/>
        </w:rPr>
      </w:pPr>
      <w:r>
        <w:rPr>
          <w:sz w:val="24"/>
        </w:rPr>
        <w:t xml:space="preserve">„-”: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megengedett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legkisebb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magasság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méterben</w:t>
      </w:r>
      <w:proofErr w:type="spellEnd"/>
      <w:r>
        <w:rPr>
          <w:sz w:val="24"/>
        </w:rPr>
        <w:t>.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518"/>
        </w:tabs>
        <w:ind w:right="117" w:firstLine="0"/>
        <w:rPr>
          <w:sz w:val="24"/>
        </w:rPr>
      </w:pPr>
      <w:r>
        <w:rPr>
          <w:sz w:val="24"/>
        </w:rPr>
        <w:t>„7</w:t>
      </w:r>
      <w:proofErr w:type="gramStart"/>
      <w:r>
        <w:rPr>
          <w:sz w:val="24"/>
        </w:rPr>
        <w:t>,5</w:t>
      </w:r>
      <w:proofErr w:type="gramEnd"/>
      <w:r>
        <w:rPr>
          <w:sz w:val="24"/>
        </w:rPr>
        <w:t xml:space="preserve">”: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megengedett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legnagyobb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magasság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méterben</w:t>
      </w:r>
      <w:proofErr w:type="spellEnd"/>
      <w:r>
        <w:rPr>
          <w:sz w:val="24"/>
        </w:rPr>
        <w:t>.</w:t>
      </w:r>
    </w:p>
    <w:p w:rsidR="001D6D61" w:rsidRDefault="001D6D61">
      <w:pPr>
        <w:pStyle w:val="Listaszerbekezds"/>
        <w:numPr>
          <w:ilvl w:val="0"/>
          <w:numId w:val="1"/>
        </w:numPr>
        <w:tabs>
          <w:tab w:val="left" w:pos="575"/>
        </w:tabs>
        <w:ind w:right="124" w:firstLine="0"/>
        <w:rPr>
          <w:sz w:val="24"/>
        </w:rPr>
      </w:pPr>
      <w:r>
        <w:rPr>
          <w:sz w:val="24"/>
        </w:rPr>
        <w:t xml:space="preserve">„0,4”: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meghatározott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szintterületi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mutató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szm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megengedett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legnagyobb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mértéke</w:t>
      </w:r>
      <w:proofErr w:type="spellEnd"/>
    </w:p>
    <w:p w:rsidR="001D6D61" w:rsidRDefault="001D6D61">
      <w:pPr>
        <w:pStyle w:val="Listaszerbekezds"/>
        <w:numPr>
          <w:ilvl w:val="0"/>
          <w:numId w:val="1"/>
        </w:numPr>
        <w:tabs>
          <w:tab w:val="left" w:pos="551"/>
        </w:tabs>
        <w:ind w:right="122" w:firstLine="0"/>
        <w:rPr>
          <w:sz w:val="24"/>
        </w:rPr>
      </w:pPr>
      <w:r>
        <w:rPr>
          <w:sz w:val="24"/>
        </w:rPr>
        <w:t xml:space="preserve">„75”: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építési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övezet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meghatározott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méretéhez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viszonyított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kialakítandó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legkisebb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zöldfelület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mértéke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százalékban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kifejezve</w:t>
      </w:r>
      <w:proofErr w:type="spellEnd"/>
      <w:r>
        <w:rPr>
          <w:sz w:val="24"/>
        </w:rPr>
        <w:t>.</w:t>
      </w:r>
    </w:p>
    <w:p w:rsidR="001D6D61" w:rsidRDefault="001D6D61">
      <w:pPr>
        <w:pStyle w:val="Szvegtrzs"/>
        <w:ind w:left="0"/>
        <w:jc w:val="left"/>
      </w:pPr>
    </w:p>
    <w:p w:rsidR="001D6D61" w:rsidRDefault="001D6D61">
      <w:pPr>
        <w:pStyle w:val="Szvegtrzs"/>
        <w:spacing w:before="180" w:line="259" w:lineRule="auto"/>
        <w:ind w:right="116"/>
      </w:pPr>
      <w:proofErr w:type="spellStart"/>
      <w:r>
        <w:t>Ahol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övezetben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paraméterek</w:t>
      </w:r>
      <w:proofErr w:type="spellEnd"/>
      <w:r>
        <w:t xml:space="preserve"> </w:t>
      </w:r>
      <w:proofErr w:type="spellStart"/>
      <w:r>
        <w:t>közül</w:t>
      </w:r>
      <w:proofErr w:type="spellEnd"/>
      <w:r>
        <w:t xml:space="preserve"> </w:t>
      </w:r>
      <w:proofErr w:type="spellStart"/>
      <w:r>
        <w:t>valamelyik</w:t>
      </w:r>
      <w:proofErr w:type="spellEnd"/>
      <w:r>
        <w:t xml:space="preserve"> </w:t>
      </w:r>
      <w:proofErr w:type="spellStart"/>
      <w:r>
        <w:t>érték</w:t>
      </w:r>
      <w:proofErr w:type="spellEnd"/>
      <w:r>
        <w:t xml:space="preserve"> a </w:t>
      </w:r>
      <w:proofErr w:type="spellStart"/>
      <w:r>
        <w:t>kialakult</w:t>
      </w:r>
      <w:proofErr w:type="spellEnd"/>
      <w:r>
        <w:t xml:space="preserve"> </w:t>
      </w:r>
      <w:proofErr w:type="spellStart"/>
      <w:r>
        <w:t>beépítéshez</w:t>
      </w:r>
      <w:proofErr w:type="spellEnd"/>
      <w:r>
        <w:t xml:space="preserve"> </w:t>
      </w:r>
      <w:proofErr w:type="spellStart"/>
      <w:r>
        <w:t>képest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változtatható</w:t>
      </w:r>
      <w:proofErr w:type="spellEnd"/>
      <w:r>
        <w:t xml:space="preserve">, </w:t>
      </w:r>
      <w:proofErr w:type="spellStart"/>
      <w:r>
        <w:t>ott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szakaszon</w:t>
      </w:r>
      <w:proofErr w:type="spellEnd"/>
      <w:r>
        <w:t xml:space="preserve"> </w:t>
      </w:r>
      <w:proofErr w:type="spellStart"/>
      <w:r>
        <w:t>ezt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értéket</w:t>
      </w:r>
      <w:proofErr w:type="spellEnd"/>
      <w:r>
        <w:t xml:space="preserve"> „K”-</w:t>
      </w:r>
      <w:proofErr w:type="spellStart"/>
      <w:r>
        <w:t>val</w:t>
      </w:r>
      <w:proofErr w:type="spellEnd"/>
      <w:r>
        <w:t xml:space="preserve"> (</w:t>
      </w:r>
      <w:proofErr w:type="spellStart"/>
      <w:r>
        <w:t>kialakult</w:t>
      </w:r>
      <w:proofErr w:type="spellEnd"/>
      <w:r>
        <w:t xml:space="preserve">)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jelölni</w:t>
      </w:r>
      <w:proofErr w:type="spellEnd"/>
      <w:r>
        <w:t xml:space="preserve">, s </w:t>
      </w:r>
      <w:proofErr w:type="spellStart"/>
      <w:r>
        <w:t>ebben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a </w:t>
      </w:r>
      <w:proofErr w:type="spellStart"/>
      <w:r>
        <w:t>többi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jogszabály</w:t>
      </w:r>
      <w:proofErr w:type="spellEnd"/>
      <w:r>
        <w:t xml:space="preserve"> </w:t>
      </w:r>
      <w:proofErr w:type="spellStart"/>
      <w:r>
        <w:t>betartása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>.</w:t>
      </w:r>
    </w:p>
    <w:p w:rsidR="001D6D61" w:rsidRDefault="001D6D61">
      <w:pPr>
        <w:pStyle w:val="Szvegtrzs"/>
        <w:spacing w:before="158" w:line="259" w:lineRule="auto"/>
        <w:ind w:right="117"/>
      </w:pPr>
      <w:proofErr w:type="spellStart"/>
      <w:r>
        <w:t>Ahol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övezetben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paraméterek</w:t>
      </w:r>
      <w:proofErr w:type="spellEnd"/>
      <w:r>
        <w:t xml:space="preserve"> </w:t>
      </w:r>
      <w:proofErr w:type="spellStart"/>
      <w:r>
        <w:t>közül</w:t>
      </w:r>
      <w:proofErr w:type="spellEnd"/>
      <w:r>
        <w:t xml:space="preserve"> </w:t>
      </w:r>
      <w:proofErr w:type="spellStart"/>
      <w:r>
        <w:t>valamelyik</w:t>
      </w:r>
      <w:proofErr w:type="spellEnd"/>
      <w:r>
        <w:t xml:space="preserve"> </w:t>
      </w:r>
      <w:proofErr w:type="spellStart"/>
      <w:r>
        <w:t>érték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szabályozásra</w:t>
      </w:r>
      <w:proofErr w:type="spellEnd"/>
      <w:r>
        <w:t xml:space="preserve">, </w:t>
      </w:r>
      <w:proofErr w:type="spellStart"/>
      <w:r>
        <w:t>ott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szakaszon</w:t>
      </w:r>
      <w:proofErr w:type="spellEnd"/>
      <w:r>
        <w:t xml:space="preserve"> „-”-</w:t>
      </w:r>
      <w:proofErr w:type="spellStart"/>
      <w:r>
        <w:t>vel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jelölni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hiányát</w:t>
      </w:r>
      <w:proofErr w:type="spellEnd"/>
      <w:r>
        <w:t xml:space="preserve">, s </w:t>
      </w:r>
      <w:proofErr w:type="spellStart"/>
      <w:r>
        <w:t>ebben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a </w:t>
      </w:r>
      <w:proofErr w:type="spellStart"/>
      <w:r>
        <w:t>többi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jogszabály</w:t>
      </w:r>
      <w:proofErr w:type="spellEnd"/>
      <w:r>
        <w:t xml:space="preserve"> </w:t>
      </w:r>
      <w:proofErr w:type="spellStart"/>
      <w:r>
        <w:t>betartása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>.</w:t>
      </w:r>
    </w:p>
    <w:p w:rsidR="001D6D61" w:rsidRDefault="001D6D61">
      <w:pPr>
        <w:pStyle w:val="Szvegtrzs"/>
        <w:spacing w:before="158" w:line="259" w:lineRule="auto"/>
        <w:ind w:right="124"/>
      </w:pPr>
      <w:proofErr w:type="spellStart"/>
      <w:r>
        <w:t>Abban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esetben</w:t>
      </w:r>
      <w:proofErr w:type="spellEnd"/>
      <w:r>
        <w:t xml:space="preserve"> ha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helyen</w:t>
      </w:r>
      <w:proofErr w:type="spellEnd"/>
      <w:r>
        <w:t xml:space="preserve"> „0” </w:t>
      </w:r>
      <w:proofErr w:type="spellStart"/>
      <w:r>
        <w:t>szerepel</w:t>
      </w:r>
      <w:proofErr w:type="spellEnd"/>
      <w:r>
        <w:t xml:space="preserve">, </w:t>
      </w:r>
      <w:proofErr w:type="spellStart"/>
      <w:r>
        <w:t>ott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paraméter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vehető</w:t>
      </w:r>
      <w:proofErr w:type="spellEnd"/>
      <w:r>
        <w:t xml:space="preserve"> </w:t>
      </w:r>
      <w:proofErr w:type="spellStart"/>
      <w:r>
        <w:t>igénybe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értéke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sectPr w:rsidR="001D6D61" w:rsidSect="006F09E0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61F6B"/>
    <w:multiLevelType w:val="hybridMultilevel"/>
    <w:tmpl w:val="FFFFFFFF"/>
    <w:lvl w:ilvl="0" w:tplc="FD621C08">
      <w:start w:val="1"/>
      <w:numFmt w:val="decimal"/>
      <w:lvlText w:val="%1."/>
      <w:lvlJc w:val="left"/>
      <w:pPr>
        <w:ind w:left="116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6E60ADA">
      <w:numFmt w:val="bullet"/>
      <w:lvlText w:val="•"/>
      <w:lvlJc w:val="left"/>
      <w:pPr>
        <w:ind w:left="1038" w:hanging="257"/>
      </w:pPr>
      <w:rPr>
        <w:rFonts w:hint="default"/>
      </w:rPr>
    </w:lvl>
    <w:lvl w:ilvl="2" w:tplc="C2780ADE">
      <w:numFmt w:val="bullet"/>
      <w:lvlText w:val="•"/>
      <w:lvlJc w:val="left"/>
      <w:pPr>
        <w:ind w:left="1957" w:hanging="257"/>
      </w:pPr>
      <w:rPr>
        <w:rFonts w:hint="default"/>
      </w:rPr>
    </w:lvl>
    <w:lvl w:ilvl="3" w:tplc="5BF2AEB4">
      <w:numFmt w:val="bullet"/>
      <w:lvlText w:val="•"/>
      <w:lvlJc w:val="left"/>
      <w:pPr>
        <w:ind w:left="2875" w:hanging="257"/>
      </w:pPr>
      <w:rPr>
        <w:rFonts w:hint="default"/>
      </w:rPr>
    </w:lvl>
    <w:lvl w:ilvl="4" w:tplc="9A5672BA">
      <w:numFmt w:val="bullet"/>
      <w:lvlText w:val="•"/>
      <w:lvlJc w:val="left"/>
      <w:pPr>
        <w:ind w:left="3794" w:hanging="257"/>
      </w:pPr>
      <w:rPr>
        <w:rFonts w:hint="default"/>
      </w:rPr>
    </w:lvl>
    <w:lvl w:ilvl="5" w:tplc="C51652CA">
      <w:numFmt w:val="bullet"/>
      <w:lvlText w:val="•"/>
      <w:lvlJc w:val="left"/>
      <w:pPr>
        <w:ind w:left="4713" w:hanging="257"/>
      </w:pPr>
      <w:rPr>
        <w:rFonts w:hint="default"/>
      </w:rPr>
    </w:lvl>
    <w:lvl w:ilvl="6" w:tplc="7C123F0E">
      <w:numFmt w:val="bullet"/>
      <w:lvlText w:val="•"/>
      <w:lvlJc w:val="left"/>
      <w:pPr>
        <w:ind w:left="5631" w:hanging="257"/>
      </w:pPr>
      <w:rPr>
        <w:rFonts w:hint="default"/>
      </w:rPr>
    </w:lvl>
    <w:lvl w:ilvl="7" w:tplc="8B245DCC">
      <w:numFmt w:val="bullet"/>
      <w:lvlText w:val="•"/>
      <w:lvlJc w:val="left"/>
      <w:pPr>
        <w:ind w:left="6550" w:hanging="257"/>
      </w:pPr>
      <w:rPr>
        <w:rFonts w:hint="default"/>
      </w:rPr>
    </w:lvl>
    <w:lvl w:ilvl="8" w:tplc="B09616EE">
      <w:numFmt w:val="bullet"/>
      <w:lvlText w:val="•"/>
      <w:lvlJc w:val="left"/>
      <w:pPr>
        <w:ind w:left="7469" w:hanging="2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E0"/>
    <w:rsid w:val="001D6D61"/>
    <w:rsid w:val="006D79BF"/>
    <w:rsid w:val="006F09E0"/>
    <w:rsid w:val="008A6EC5"/>
    <w:rsid w:val="00A40BEB"/>
    <w:rsid w:val="00C5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9E0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Cmsor1">
    <w:name w:val="heading 1"/>
    <w:basedOn w:val="Norml"/>
    <w:link w:val="Cmsor1Char"/>
    <w:uiPriority w:val="99"/>
    <w:qFormat/>
    <w:rsid w:val="006F09E0"/>
    <w:pPr>
      <w:ind w:left="3015" w:right="3015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49A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Szvegtrzs">
    <w:name w:val="Body Text"/>
    <w:basedOn w:val="Norml"/>
    <w:link w:val="SzvegtrzsChar"/>
    <w:uiPriority w:val="99"/>
    <w:rsid w:val="006F09E0"/>
    <w:pPr>
      <w:ind w:left="116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349A6"/>
    <w:rPr>
      <w:rFonts w:ascii="Times New Roman" w:eastAsia="Times New Roman" w:hAnsi="Times New Roman"/>
      <w:lang w:val="en-US" w:eastAsia="en-US"/>
    </w:rPr>
  </w:style>
  <w:style w:type="paragraph" w:styleId="Listaszerbekezds">
    <w:name w:val="List Paragraph"/>
    <w:basedOn w:val="Norml"/>
    <w:uiPriority w:val="99"/>
    <w:qFormat/>
    <w:rsid w:val="006F09E0"/>
    <w:pPr>
      <w:ind w:left="116"/>
      <w:jc w:val="both"/>
    </w:pPr>
  </w:style>
  <w:style w:type="paragraph" w:customStyle="1" w:styleId="TableParagraph">
    <w:name w:val="Table Paragraph"/>
    <w:basedOn w:val="Norml"/>
    <w:uiPriority w:val="99"/>
    <w:rsid w:val="006F0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9E0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Cmsor1">
    <w:name w:val="heading 1"/>
    <w:basedOn w:val="Norml"/>
    <w:link w:val="Cmsor1Char"/>
    <w:uiPriority w:val="99"/>
    <w:qFormat/>
    <w:rsid w:val="006F09E0"/>
    <w:pPr>
      <w:ind w:left="3015" w:right="3015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49A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Szvegtrzs">
    <w:name w:val="Body Text"/>
    <w:basedOn w:val="Norml"/>
    <w:link w:val="SzvegtrzsChar"/>
    <w:uiPriority w:val="99"/>
    <w:rsid w:val="006F09E0"/>
    <w:pPr>
      <w:ind w:left="116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349A6"/>
    <w:rPr>
      <w:rFonts w:ascii="Times New Roman" w:eastAsia="Times New Roman" w:hAnsi="Times New Roman"/>
      <w:lang w:val="en-US" w:eastAsia="en-US"/>
    </w:rPr>
  </w:style>
  <w:style w:type="paragraph" w:styleId="Listaszerbekezds">
    <w:name w:val="List Paragraph"/>
    <w:basedOn w:val="Norml"/>
    <w:uiPriority w:val="99"/>
    <w:qFormat/>
    <w:rsid w:val="006F09E0"/>
    <w:pPr>
      <w:ind w:left="116"/>
      <w:jc w:val="both"/>
    </w:pPr>
  </w:style>
  <w:style w:type="paragraph" w:customStyle="1" w:styleId="TableParagraph">
    <w:name w:val="Table Paragraph"/>
    <w:basedOn w:val="Norml"/>
    <w:uiPriority w:val="99"/>
    <w:rsid w:val="006F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Judit01</dc:creator>
  <cp:lastModifiedBy>KojnokB</cp:lastModifiedBy>
  <cp:revision>2</cp:revision>
  <dcterms:created xsi:type="dcterms:W3CDTF">2017-03-27T07:25:00Z</dcterms:created>
  <dcterms:modified xsi:type="dcterms:W3CDTF">2017-03-27T07:25:00Z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