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A2225" w14:textId="77777777" w:rsidR="00374459" w:rsidRPr="00374459" w:rsidRDefault="00374459" w:rsidP="00374459">
      <w:pPr>
        <w:spacing w:line="276" w:lineRule="auto"/>
        <w:jc w:val="center"/>
        <w:rPr>
          <w:rFonts w:eastAsia="Times New Roman" w:cs="Times New Roman"/>
          <w:b/>
          <w:bCs/>
        </w:rPr>
      </w:pPr>
      <w:r w:rsidRPr="00374459">
        <w:rPr>
          <w:rFonts w:eastAsia="Times New Roman" w:cs="Times New Roman"/>
          <w:b/>
          <w:bCs/>
        </w:rPr>
        <w:t>ELŐZETES HATÁSVIZSGÁLAT</w:t>
      </w:r>
    </w:p>
    <w:p w14:paraId="2A5CDCE1" w14:textId="77777777" w:rsidR="00374459" w:rsidRPr="00374459" w:rsidRDefault="00374459" w:rsidP="00374459">
      <w:pPr>
        <w:spacing w:line="276" w:lineRule="auto"/>
        <w:jc w:val="center"/>
        <w:rPr>
          <w:rFonts w:eastAsia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2"/>
        <w:gridCol w:w="182"/>
        <w:gridCol w:w="56"/>
        <w:gridCol w:w="1814"/>
        <w:gridCol w:w="744"/>
        <w:gridCol w:w="1351"/>
        <w:gridCol w:w="1402"/>
        <w:gridCol w:w="694"/>
        <w:gridCol w:w="1495"/>
      </w:tblGrid>
      <w:tr w:rsidR="00374459" w:rsidRPr="00374459" w14:paraId="1B11CBE2" w14:textId="77777777" w:rsidTr="00D44077">
        <w:trPr>
          <w:trHeight w:val="683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6BE5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206F5" w14:textId="77777777" w:rsidR="00374459" w:rsidRPr="00374459" w:rsidRDefault="00374459" w:rsidP="00374459">
            <w:pPr>
              <w:tabs>
                <w:tab w:val="center" w:pos="6521"/>
              </w:tabs>
              <w:rPr>
                <w:rFonts w:eastAsia="Calibri" w:cs="Times New Roman"/>
                <w:b/>
                <w:lang w:eastAsia="hu-HU"/>
              </w:rPr>
            </w:pPr>
            <w:r w:rsidRPr="00374459">
              <w:rPr>
                <w:rFonts w:eastAsia="Calibri" w:cs="Times New Roman"/>
                <w:b/>
              </w:rPr>
              <w:t>Keszthely Város Önkormányzata Képviselő-testülete</w:t>
            </w:r>
            <w:proofErr w:type="gramStart"/>
            <w:r w:rsidRPr="00374459">
              <w:rPr>
                <w:rFonts w:eastAsia="Calibri" w:cs="Times New Roman"/>
                <w:b/>
              </w:rPr>
              <w:t xml:space="preserve"> ….</w:t>
            </w:r>
            <w:proofErr w:type="gramEnd"/>
            <w:r w:rsidRPr="00374459">
              <w:rPr>
                <w:rFonts w:eastAsia="Calibri" w:cs="Times New Roman"/>
                <w:b/>
              </w:rPr>
              <w:t xml:space="preserve">/2020. (X. …..) önkormányzati rendelete Keszthely város jelképeinek és a település neve használatának rendjéről szóló 45/2012. (XII. 18.) önkormányzati rendelete, valamint Keszthely Város Önkormányzata Szervezeti és Működési Szabályzatáról szóló 23/2014. (X.22.) önkormányzati rendelete módosításáról </w:t>
            </w:r>
          </w:p>
        </w:tc>
      </w:tr>
      <w:tr w:rsidR="00374459" w:rsidRPr="00374459" w14:paraId="3FACD571" w14:textId="77777777" w:rsidTr="00D44077">
        <w:trPr>
          <w:trHeight w:val="440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5FA4" w14:textId="77777777" w:rsidR="00374459" w:rsidRPr="00374459" w:rsidRDefault="00374459" w:rsidP="00374459">
            <w:pPr>
              <w:spacing w:line="276" w:lineRule="auto"/>
              <w:jc w:val="center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>Rendelet-tervezet valamennyi jelentős hatása, különösen</w:t>
            </w:r>
          </w:p>
        </w:tc>
      </w:tr>
      <w:tr w:rsidR="00374459" w:rsidRPr="00374459" w14:paraId="7D763B16" w14:textId="77777777" w:rsidTr="00D44077">
        <w:trPr>
          <w:trHeight w:val="62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53919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673F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BCB2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0C637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 xml:space="preserve">Adminisztratív </w:t>
            </w:r>
            <w:proofErr w:type="spellStart"/>
            <w:r w:rsidRPr="00374459">
              <w:rPr>
                <w:rFonts w:eastAsia="Times New Roman" w:cs="Book Antiqua"/>
                <w:b/>
                <w:bCs/>
              </w:rPr>
              <w:t>terheket</w:t>
            </w:r>
            <w:proofErr w:type="spellEnd"/>
            <w:r w:rsidRPr="00374459">
              <w:rPr>
                <w:rFonts w:eastAsia="Times New Roman" w:cs="Book Antiqua"/>
                <w:b/>
                <w:bCs/>
              </w:rPr>
              <w:t xml:space="preserve"> befolyásoló hatás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05BF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>Egyéb hatás</w:t>
            </w:r>
          </w:p>
        </w:tc>
      </w:tr>
      <w:tr w:rsidR="00374459" w:rsidRPr="00374459" w14:paraId="3274A895" w14:textId="77777777" w:rsidTr="00D44077">
        <w:trPr>
          <w:trHeight w:val="1134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BEDE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</w:rPr>
            </w:pPr>
            <w:r w:rsidRPr="00374459">
              <w:rPr>
                <w:rFonts w:eastAsia="Times New Roman" w:cs="Book Antiqua"/>
              </w:rPr>
              <w:t>Nincs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81880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</w:rPr>
            </w:pPr>
            <w:r w:rsidRPr="00374459">
              <w:rPr>
                <w:rFonts w:eastAsia="Times New Roman" w:cs="Book Antiqua"/>
              </w:rPr>
              <w:t>Nincs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0B5C5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</w:rPr>
            </w:pPr>
            <w:r w:rsidRPr="00374459">
              <w:rPr>
                <w:rFonts w:eastAsia="Times New Roman" w:cs="Book Antiqua"/>
              </w:rPr>
              <w:t>Nincs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A4D83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</w:rPr>
            </w:pPr>
            <w:r w:rsidRPr="00374459">
              <w:rPr>
                <w:rFonts w:eastAsia="Times New Roman" w:cs="Book Antiqua"/>
              </w:rPr>
              <w:t>Nem jelentős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C79AC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</w:rPr>
            </w:pPr>
            <w:r w:rsidRPr="00374459">
              <w:rPr>
                <w:rFonts w:eastAsia="Times New Roman" w:cs="Book Antiqua"/>
              </w:rPr>
              <w:t>Nincs</w:t>
            </w:r>
          </w:p>
        </w:tc>
      </w:tr>
      <w:tr w:rsidR="00374459" w:rsidRPr="00374459" w14:paraId="42395FF1" w14:textId="77777777" w:rsidTr="00D44077">
        <w:trPr>
          <w:trHeight w:val="52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2196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</w:rPr>
            </w:pPr>
            <w:r w:rsidRPr="00374459">
              <w:rPr>
                <w:rFonts w:eastAsia="Times New Roman" w:cs="Book Antiqua"/>
                <w:b/>
                <w:bCs/>
              </w:rPr>
              <w:t>A rendelet megalkotása szükséges:</w:t>
            </w:r>
            <w:r w:rsidRPr="00374459">
              <w:rPr>
                <w:rFonts w:eastAsia="Times New Roman" w:cs="Book Antiqua"/>
              </w:rPr>
              <w:t xml:space="preserve"> jogalkalmazás egyszerűsítése, az eljárások gyorsítása érdekében</w:t>
            </w:r>
          </w:p>
        </w:tc>
      </w:tr>
      <w:tr w:rsidR="00374459" w:rsidRPr="00374459" w14:paraId="7CEED24A" w14:textId="77777777" w:rsidTr="00D44077">
        <w:trPr>
          <w:trHeight w:val="539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8255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</w:rPr>
            </w:pPr>
            <w:r w:rsidRPr="00374459">
              <w:rPr>
                <w:rFonts w:eastAsia="Times New Roman" w:cs="Book Antiqua"/>
                <w:b/>
                <w:bCs/>
              </w:rPr>
              <w:t>A rendelet megalkotásának elmaradása esetén várható következmények:</w:t>
            </w:r>
            <w:r w:rsidRPr="00374459">
              <w:rPr>
                <w:rFonts w:eastAsia="Times New Roman" w:cs="Book Antiqua"/>
              </w:rPr>
              <w:t xml:space="preserve"> elhúzódó eljárások</w:t>
            </w:r>
          </w:p>
        </w:tc>
      </w:tr>
      <w:tr w:rsidR="00374459" w:rsidRPr="00374459" w14:paraId="1A7CF520" w14:textId="77777777" w:rsidTr="00D44077">
        <w:trPr>
          <w:trHeight w:val="43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651CC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>A rendelet alkalmazásához szükséges feltételek:</w:t>
            </w:r>
          </w:p>
        </w:tc>
      </w:tr>
      <w:tr w:rsidR="00374459" w:rsidRPr="00374459" w14:paraId="17405E2A" w14:textId="77777777" w:rsidTr="00D44077">
        <w:trPr>
          <w:trHeight w:val="404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48366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1B16D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0867A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D508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  <w:b/>
                <w:bCs/>
              </w:rPr>
            </w:pPr>
            <w:r w:rsidRPr="00374459">
              <w:rPr>
                <w:rFonts w:eastAsia="Times New Roman" w:cs="Book Antiqua"/>
                <w:b/>
                <w:bCs/>
              </w:rPr>
              <w:t>Pénzügyi</w:t>
            </w:r>
          </w:p>
        </w:tc>
      </w:tr>
      <w:tr w:rsidR="00374459" w:rsidRPr="00374459" w14:paraId="78557649" w14:textId="77777777" w:rsidTr="00D44077">
        <w:trPr>
          <w:trHeight w:val="2141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24F6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</w:rPr>
            </w:pPr>
            <w:r w:rsidRPr="00374459">
              <w:rPr>
                <w:rFonts w:eastAsia="Times New Roman" w:cs="Book Antiqua"/>
              </w:rPr>
              <w:t>Nem igényel további személyi feltételeket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BB195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</w:rPr>
            </w:pPr>
            <w:r w:rsidRPr="00374459">
              <w:rPr>
                <w:rFonts w:eastAsia="Times New Roman" w:cs="Book Antiqua"/>
              </w:rPr>
              <w:t>A jelenlegi szervezeti struktúrában a szükséges feltételek biztosítottak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86E27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</w:rPr>
            </w:pPr>
            <w:r w:rsidRPr="00374459">
              <w:rPr>
                <w:rFonts w:eastAsia="Times New Roman" w:cs="Book Antiqua"/>
              </w:rPr>
              <w:t>Nem igényel további tárgyi erőforrásokat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C3E2" w14:textId="77777777" w:rsidR="00374459" w:rsidRPr="00374459" w:rsidRDefault="00374459" w:rsidP="00374459">
            <w:pPr>
              <w:spacing w:line="276" w:lineRule="auto"/>
              <w:rPr>
                <w:rFonts w:eastAsia="Times New Roman" w:cs="Book Antiqua"/>
              </w:rPr>
            </w:pPr>
            <w:r w:rsidRPr="00374459">
              <w:rPr>
                <w:rFonts w:eastAsia="Times New Roman" w:cs="Book Antiqua"/>
              </w:rPr>
              <w:t>Nem jár további pénzügyi kötelezettséggel</w:t>
            </w:r>
          </w:p>
        </w:tc>
      </w:tr>
    </w:tbl>
    <w:p w14:paraId="01A7CFC6" w14:textId="77777777" w:rsidR="00374459" w:rsidRPr="00374459" w:rsidRDefault="00374459" w:rsidP="00374459">
      <w:pPr>
        <w:ind w:right="-301"/>
        <w:jc w:val="center"/>
        <w:rPr>
          <w:rFonts w:eastAsia="Times New Roman" w:cs="Times New Roman"/>
          <w:color w:val="000000"/>
        </w:rPr>
      </w:pPr>
    </w:p>
    <w:p w14:paraId="1DDA9F25" w14:textId="77777777" w:rsidR="00374459" w:rsidRPr="00374459" w:rsidRDefault="00374459" w:rsidP="00374459">
      <w:pPr>
        <w:tabs>
          <w:tab w:val="center" w:pos="6521"/>
        </w:tabs>
        <w:jc w:val="center"/>
        <w:rPr>
          <w:rFonts w:eastAsia="Calibri" w:cs="Times New Roman"/>
        </w:rPr>
      </w:pPr>
    </w:p>
    <w:p w14:paraId="67181B78" w14:textId="77777777" w:rsidR="00374459" w:rsidRPr="00374459" w:rsidRDefault="00374459" w:rsidP="00374459">
      <w:pPr>
        <w:tabs>
          <w:tab w:val="center" w:pos="6521"/>
        </w:tabs>
        <w:jc w:val="center"/>
        <w:rPr>
          <w:rFonts w:eastAsia="Calibri" w:cs="Times New Roman"/>
          <w:b/>
          <w:bCs/>
        </w:rPr>
      </w:pPr>
      <w:r w:rsidRPr="00374459">
        <w:rPr>
          <w:rFonts w:eastAsia="Calibri" w:cs="Times New Roman"/>
          <w:b/>
          <w:bCs/>
        </w:rPr>
        <w:t>Általános indokolás</w:t>
      </w:r>
    </w:p>
    <w:p w14:paraId="22E2A572" w14:textId="77777777" w:rsidR="00374459" w:rsidRPr="00374459" w:rsidRDefault="00374459" w:rsidP="00374459">
      <w:pPr>
        <w:tabs>
          <w:tab w:val="center" w:pos="6521"/>
        </w:tabs>
        <w:jc w:val="center"/>
        <w:rPr>
          <w:rFonts w:eastAsia="Calibri" w:cs="Times New Roman"/>
        </w:rPr>
      </w:pPr>
    </w:p>
    <w:p w14:paraId="6BF1D649" w14:textId="77777777" w:rsidR="00374459" w:rsidRPr="00374459" w:rsidRDefault="00374459" w:rsidP="00374459">
      <w:pPr>
        <w:tabs>
          <w:tab w:val="center" w:pos="6521"/>
        </w:tabs>
        <w:rPr>
          <w:rFonts w:eastAsia="Calibri" w:cs="Times New Roman"/>
        </w:rPr>
      </w:pPr>
      <w:r w:rsidRPr="00374459">
        <w:rPr>
          <w:rFonts w:eastAsia="Calibri" w:cs="Times New Roman"/>
        </w:rPr>
        <w:t xml:space="preserve">A jogalkalmazás egyszerűsítése, a jelképhasználati kérelmek gyorsabb elbírálása érdekében az engedélyezi hatáskörök felülvizsgálata indokolt. </w:t>
      </w:r>
    </w:p>
    <w:p w14:paraId="37B6A07C" w14:textId="77777777" w:rsidR="00374459" w:rsidRPr="00374459" w:rsidRDefault="00374459" w:rsidP="00374459">
      <w:pPr>
        <w:tabs>
          <w:tab w:val="center" w:pos="6521"/>
        </w:tabs>
        <w:jc w:val="center"/>
        <w:rPr>
          <w:rFonts w:eastAsia="Calibri" w:cs="Times New Roman"/>
        </w:rPr>
      </w:pPr>
    </w:p>
    <w:p w14:paraId="74379986" w14:textId="77777777" w:rsidR="00374459" w:rsidRPr="00374459" w:rsidRDefault="00374459" w:rsidP="00374459">
      <w:pPr>
        <w:tabs>
          <w:tab w:val="center" w:pos="6521"/>
        </w:tabs>
        <w:jc w:val="center"/>
        <w:rPr>
          <w:rFonts w:eastAsia="Calibri" w:cs="Times New Roman"/>
        </w:rPr>
      </w:pPr>
    </w:p>
    <w:p w14:paraId="140999C7" w14:textId="77777777" w:rsidR="00374459" w:rsidRPr="00374459" w:rsidRDefault="00374459" w:rsidP="00374459">
      <w:pPr>
        <w:tabs>
          <w:tab w:val="center" w:pos="6521"/>
        </w:tabs>
        <w:jc w:val="center"/>
        <w:rPr>
          <w:rFonts w:eastAsia="Calibri" w:cs="Times New Roman"/>
        </w:rPr>
      </w:pPr>
    </w:p>
    <w:p w14:paraId="4F5D1094" w14:textId="77777777" w:rsidR="00374459" w:rsidRPr="00374459" w:rsidRDefault="00374459" w:rsidP="00374459">
      <w:pPr>
        <w:tabs>
          <w:tab w:val="center" w:pos="6521"/>
        </w:tabs>
        <w:jc w:val="center"/>
        <w:rPr>
          <w:rFonts w:eastAsia="Calibri" w:cs="Times New Roman"/>
          <w:b/>
          <w:bCs/>
        </w:rPr>
      </w:pPr>
      <w:r w:rsidRPr="00374459">
        <w:rPr>
          <w:rFonts w:eastAsia="Calibri" w:cs="Times New Roman"/>
          <w:b/>
          <w:bCs/>
        </w:rPr>
        <w:t>Részletes indokolás</w:t>
      </w:r>
    </w:p>
    <w:p w14:paraId="4051DAD4" w14:textId="77777777" w:rsidR="00374459" w:rsidRPr="00374459" w:rsidRDefault="00374459" w:rsidP="00374459">
      <w:pPr>
        <w:tabs>
          <w:tab w:val="center" w:pos="6521"/>
        </w:tabs>
        <w:rPr>
          <w:rFonts w:eastAsia="Calibri" w:cs="Times New Roman"/>
        </w:rPr>
      </w:pPr>
    </w:p>
    <w:p w14:paraId="1F44C16C" w14:textId="77777777" w:rsidR="00374459" w:rsidRPr="00374459" w:rsidRDefault="00374459" w:rsidP="00374459">
      <w:pPr>
        <w:tabs>
          <w:tab w:val="center" w:pos="6521"/>
        </w:tabs>
        <w:rPr>
          <w:rFonts w:eastAsia="Calibri" w:cs="Times New Roman"/>
        </w:rPr>
      </w:pPr>
      <w:r w:rsidRPr="00374459">
        <w:rPr>
          <w:rFonts w:eastAsia="Calibri" w:cs="Times New Roman"/>
        </w:rPr>
        <w:t xml:space="preserve">1.-3. §- hoz </w:t>
      </w:r>
    </w:p>
    <w:p w14:paraId="2BBD0DE0" w14:textId="77777777" w:rsidR="00374459" w:rsidRPr="00374459" w:rsidRDefault="00374459" w:rsidP="00374459">
      <w:pPr>
        <w:tabs>
          <w:tab w:val="center" w:pos="6521"/>
        </w:tabs>
        <w:rPr>
          <w:rFonts w:eastAsia="Calibri" w:cs="Times New Roman"/>
        </w:rPr>
      </w:pPr>
    </w:p>
    <w:p w14:paraId="0ECA025A" w14:textId="77777777" w:rsidR="00374459" w:rsidRPr="00374459" w:rsidRDefault="00374459" w:rsidP="00374459">
      <w:pPr>
        <w:tabs>
          <w:tab w:val="center" w:pos="6521"/>
        </w:tabs>
        <w:jc w:val="both"/>
        <w:rPr>
          <w:rFonts w:eastAsia="Calibri" w:cs="Times New Roman"/>
        </w:rPr>
      </w:pPr>
      <w:r w:rsidRPr="00374459">
        <w:rPr>
          <w:rFonts w:eastAsia="Calibri" w:cs="Times New Roman"/>
        </w:rPr>
        <w:t>A jelképhasználat engedélyezése során a polgármester, mint a hatáskör jogosultjának meghatározása. A hivatal szervezeti egysége nevének átvezetése.</w:t>
      </w:r>
    </w:p>
    <w:p w14:paraId="76C8DE1B" w14:textId="77777777" w:rsidR="00374459" w:rsidRPr="00374459" w:rsidRDefault="00374459" w:rsidP="00374459">
      <w:pPr>
        <w:tabs>
          <w:tab w:val="center" w:pos="6521"/>
        </w:tabs>
        <w:rPr>
          <w:rFonts w:eastAsia="Calibri" w:cs="Times New Roman"/>
        </w:rPr>
      </w:pPr>
    </w:p>
    <w:p w14:paraId="12FDA07B" w14:textId="77777777" w:rsidR="00374459" w:rsidRPr="00374459" w:rsidRDefault="00374459" w:rsidP="00374459">
      <w:pPr>
        <w:tabs>
          <w:tab w:val="center" w:pos="6521"/>
        </w:tabs>
        <w:rPr>
          <w:rFonts w:eastAsia="Calibri" w:cs="Times New Roman"/>
        </w:rPr>
      </w:pPr>
      <w:r w:rsidRPr="00374459">
        <w:rPr>
          <w:rFonts w:eastAsia="Calibri" w:cs="Times New Roman"/>
        </w:rPr>
        <w:t xml:space="preserve">4.§ -hoz </w:t>
      </w:r>
    </w:p>
    <w:p w14:paraId="27024D1A" w14:textId="77777777" w:rsidR="00374459" w:rsidRPr="00374459" w:rsidRDefault="00374459" w:rsidP="00374459">
      <w:pPr>
        <w:tabs>
          <w:tab w:val="center" w:pos="6521"/>
        </w:tabs>
        <w:rPr>
          <w:rFonts w:eastAsia="Calibri" w:cs="Times New Roman"/>
        </w:rPr>
      </w:pPr>
    </w:p>
    <w:p w14:paraId="1E549DB0" w14:textId="77777777" w:rsidR="00374459" w:rsidRPr="00374459" w:rsidRDefault="00374459" w:rsidP="00374459">
      <w:pPr>
        <w:tabs>
          <w:tab w:val="center" w:pos="6521"/>
        </w:tabs>
        <w:jc w:val="both"/>
        <w:rPr>
          <w:rFonts w:eastAsia="Calibri" w:cs="Times New Roman"/>
        </w:rPr>
      </w:pPr>
      <w:r w:rsidRPr="00374459">
        <w:rPr>
          <w:rFonts w:eastAsia="Calibri" w:cs="Times New Roman"/>
        </w:rPr>
        <w:t>Keszthely Város Önkormányzata Szervezeti és Működési Szabályzatának a polgármester átruházott hatáskörére vonatkozó szabályainak módosítása.</w:t>
      </w:r>
    </w:p>
    <w:p w14:paraId="47E96810" w14:textId="77777777" w:rsidR="00072B4D" w:rsidRDefault="00072B4D"/>
    <w:sectPr w:rsidR="00072B4D" w:rsidSect="005A7FE5">
      <w:footerReference w:type="default" r:id="rId4"/>
      <w:pgSz w:w="11906" w:h="16838" w:code="9"/>
      <w:pgMar w:top="1134" w:right="1134" w:bottom="851" w:left="1418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2281A" w14:textId="77777777" w:rsidR="00DD7F12" w:rsidRDefault="00374459" w:rsidP="00DD7F1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59"/>
    <w:rsid w:val="00072B4D"/>
    <w:rsid w:val="0037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DFB9"/>
  <w15:chartTrackingRefBased/>
  <w15:docId w15:val="{56E7F78A-C625-455B-A9D8-54595F29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3744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7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2020-10-30T11:01:00Z</dcterms:created>
  <dcterms:modified xsi:type="dcterms:W3CDTF">2020-10-30T11:01:00Z</dcterms:modified>
</cp:coreProperties>
</file>