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E9" w:rsidRPr="00202502" w:rsidRDefault="00F21EE9" w:rsidP="00F21EE9">
      <w:r w:rsidRPr="00202502">
        <w:t xml:space="preserve">1. melléklet a </w:t>
      </w:r>
      <w:r>
        <w:t>6</w:t>
      </w:r>
      <w:r w:rsidRPr="00202502">
        <w:t>/2013. (</w:t>
      </w:r>
      <w:r>
        <w:t>XI.26.</w:t>
      </w:r>
      <w:r w:rsidRPr="00202502">
        <w:t>) önkormányzati rendelethez</w:t>
      </w:r>
      <w:r w:rsidRPr="00202502">
        <w:br/>
        <w:t xml:space="preserve">a gyermekétkeztetési illetve egyéb étkezési intézményi térítési díjtételek </w:t>
      </w:r>
    </w:p>
    <w:p w:rsidR="00F21EE9" w:rsidRDefault="00F21EE9" w:rsidP="00F21EE9">
      <w:pPr>
        <w:pStyle w:val="NormlWeb"/>
      </w:pPr>
      <w:r w:rsidRPr="00202502">
        <w:t>Intézményi térítési díj (nyersanyagnorma) napi összege</w:t>
      </w:r>
    </w:p>
    <w:tbl>
      <w:tblPr>
        <w:tblW w:w="8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60"/>
        <w:gridCol w:w="2440"/>
        <w:gridCol w:w="2440"/>
      </w:tblGrid>
      <w:tr w:rsidR="00F21EE9" w:rsidTr="00F23514">
        <w:trPr>
          <w:trHeight w:val="31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nyesranyag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norma+áfa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        Intézményi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térítési díj </w:t>
            </w:r>
          </w:p>
        </w:tc>
      </w:tr>
      <w:tr w:rsidR="00F21EE9" w:rsidTr="00F23514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21EE9" w:rsidTr="00F23514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88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88 Ft/fő</w:t>
            </w:r>
          </w:p>
        </w:tc>
      </w:tr>
      <w:tr w:rsidR="00F21EE9" w:rsidTr="00F23514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194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194 Ft/fő</w:t>
            </w:r>
          </w:p>
        </w:tc>
      </w:tr>
      <w:tr w:rsidR="00F21EE9" w:rsidTr="00F23514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88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88 Ft/fő</w:t>
            </w:r>
          </w:p>
        </w:tc>
      </w:tr>
      <w:tr w:rsidR="00F21EE9" w:rsidTr="00F23514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Pr="00BE2468" w:rsidRDefault="00F21EE9" w:rsidP="00F235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370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Pr="00BE2468" w:rsidRDefault="00F21EE9" w:rsidP="00F235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370 Ft/fő</w:t>
            </w:r>
          </w:p>
        </w:tc>
      </w:tr>
      <w:tr w:rsidR="00F21EE9" w:rsidTr="00F23514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21EE9" w:rsidTr="00F23514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77 Ft/fő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77 Ft/fő</w:t>
            </w:r>
          </w:p>
        </w:tc>
      </w:tr>
      <w:tr w:rsidR="00F21EE9" w:rsidTr="00F23514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196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196 Ft/fő</w:t>
            </w:r>
          </w:p>
        </w:tc>
      </w:tr>
      <w:tr w:rsidR="00F21EE9" w:rsidTr="00F23514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77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77 Ft/fő</w:t>
            </w:r>
          </w:p>
        </w:tc>
      </w:tr>
      <w:tr w:rsidR="00F21EE9" w:rsidTr="00F23514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Pr="00BE2468" w:rsidRDefault="00F21EE9" w:rsidP="00F235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350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Pr="00BE2468" w:rsidRDefault="00F21EE9" w:rsidP="00F235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350 Ft/fő</w:t>
            </w:r>
          </w:p>
        </w:tc>
      </w:tr>
      <w:tr w:rsidR="00F21EE9" w:rsidTr="00F23514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Pr="00BE2468" w:rsidRDefault="00F21EE9" w:rsidP="00F23514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Alkalmazottak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(az önkormányzat dolgozói: hivatal, óvoda)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Pr="00BE2468" w:rsidRDefault="00F21EE9" w:rsidP="00F235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350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Pr="00BE2468" w:rsidRDefault="00F21EE9" w:rsidP="00F235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600 Ft/fő</w:t>
            </w:r>
          </w:p>
        </w:tc>
      </w:tr>
      <w:tr w:rsidR="00F21EE9" w:rsidTr="00F23514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Vendégtékezők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Pr="00BE2468" w:rsidRDefault="00F21EE9" w:rsidP="00F235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380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Pr="00BE2468" w:rsidRDefault="00F21EE9" w:rsidP="00F235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630 Ft/fő</w:t>
            </w:r>
          </w:p>
        </w:tc>
      </w:tr>
      <w:tr w:rsidR="00F21EE9" w:rsidTr="00F23514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Szociális étkezők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Pr="00BE2468" w:rsidRDefault="00F21EE9" w:rsidP="00F23514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380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Pr="00555576" w:rsidRDefault="00F21EE9" w:rsidP="00F235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555576">
              <w:rPr>
                <w:rFonts w:ascii="Calibri" w:hAnsi="Calibri"/>
                <w:b/>
                <w:color w:val="000000"/>
                <w:sz w:val="22"/>
                <w:szCs w:val="22"/>
              </w:rPr>
              <w:t> 460 Ft/fő</w:t>
            </w:r>
          </w:p>
        </w:tc>
      </w:tr>
      <w:tr w:rsidR="00F21EE9" w:rsidTr="00F23514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Házi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szoc.gondozás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E9" w:rsidRDefault="00F21EE9" w:rsidP="00F23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EE9" w:rsidRPr="00BE2468" w:rsidRDefault="00F21EE9" w:rsidP="00F23514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200 Ft/fő/óra</w:t>
            </w:r>
          </w:p>
        </w:tc>
      </w:tr>
    </w:tbl>
    <w:p w:rsidR="00F21EE9" w:rsidRDefault="00F21EE9" w:rsidP="00F21EE9">
      <w:pPr>
        <w:pStyle w:val="NormlWeb"/>
      </w:pPr>
    </w:p>
    <w:p w:rsidR="00F21EE9" w:rsidRDefault="00F21EE9" w:rsidP="00F21EE9">
      <w:pPr>
        <w:pStyle w:val="NormlWeb"/>
      </w:pPr>
    </w:p>
    <w:p w:rsidR="00F21EE9" w:rsidRDefault="00F21EE9" w:rsidP="00F21EE9">
      <w:pPr>
        <w:pStyle w:val="NormlWeb"/>
      </w:pPr>
    </w:p>
    <w:p w:rsidR="00F21EE9" w:rsidRDefault="00F21EE9" w:rsidP="00F21EE9">
      <w:pPr>
        <w:pStyle w:val="NormlWeb"/>
      </w:pPr>
    </w:p>
    <w:p w:rsidR="00F21EE9" w:rsidRDefault="00F21EE9" w:rsidP="00F21EE9">
      <w:pPr>
        <w:pStyle w:val="NormlWeb"/>
      </w:pPr>
    </w:p>
    <w:p w:rsidR="00F21EE9" w:rsidRDefault="00F21EE9" w:rsidP="00F21EE9">
      <w:pPr>
        <w:pStyle w:val="NormlWeb"/>
      </w:pPr>
    </w:p>
    <w:p w:rsidR="00F21EE9" w:rsidRDefault="00F21EE9" w:rsidP="00F21EE9">
      <w:pPr>
        <w:pStyle w:val="NormlWeb"/>
      </w:pPr>
    </w:p>
    <w:p w:rsidR="00F21EE9" w:rsidRDefault="00F21EE9" w:rsidP="00F21EE9">
      <w:pPr>
        <w:pStyle w:val="NormlWeb"/>
      </w:pPr>
    </w:p>
    <w:p w:rsidR="00F21EE9" w:rsidRDefault="00F21EE9" w:rsidP="00F21EE9">
      <w:pPr>
        <w:pStyle w:val="NormlWeb"/>
      </w:pPr>
    </w:p>
    <w:p w:rsidR="00F21EE9" w:rsidRDefault="00F21EE9" w:rsidP="00F21EE9">
      <w:pPr>
        <w:pStyle w:val="NormlWeb"/>
      </w:pPr>
    </w:p>
    <w:p w:rsidR="00F21EE9" w:rsidRDefault="00F21EE9" w:rsidP="00F21EE9">
      <w:pPr>
        <w:pStyle w:val="NormlWeb"/>
      </w:pPr>
    </w:p>
    <w:p w:rsidR="00F21EE9" w:rsidRDefault="00F21EE9" w:rsidP="00F21EE9">
      <w:pPr>
        <w:pStyle w:val="NormlWeb"/>
      </w:pPr>
    </w:p>
    <w:p w:rsidR="00F21EE9" w:rsidRDefault="00F21EE9" w:rsidP="00F21EE9">
      <w:pPr>
        <w:pStyle w:val="NormlWeb"/>
      </w:pPr>
    </w:p>
    <w:p w:rsidR="00F21EE9" w:rsidRPr="00202502" w:rsidRDefault="00F21EE9" w:rsidP="00F21EE9">
      <w:pPr>
        <w:pStyle w:val="NormlWeb"/>
      </w:pPr>
      <w:r>
        <w:lastRenderedPageBreak/>
        <w:t>6</w:t>
      </w:r>
      <w:r w:rsidRPr="00202502">
        <w:t>./2013. (</w:t>
      </w:r>
      <w:r>
        <w:t>XI.26.</w:t>
      </w:r>
      <w:r w:rsidRPr="00202502">
        <w:t>) önkormányzati rendeletének indokolása</w:t>
      </w:r>
    </w:p>
    <w:p w:rsidR="00F21EE9" w:rsidRPr="00202502" w:rsidRDefault="00F21EE9" w:rsidP="00F21EE9">
      <w:r w:rsidRPr="00202502">
        <w:rPr>
          <w:b/>
          <w:bCs/>
        </w:rPr>
        <w:t>Általános indokolás</w:t>
      </w:r>
      <w:r w:rsidRPr="00202502">
        <w:t xml:space="preserve"> </w:t>
      </w:r>
    </w:p>
    <w:p w:rsidR="00F21EE9" w:rsidRPr="00202502" w:rsidRDefault="00F21EE9" w:rsidP="00F21EE9">
      <w:pPr>
        <w:pStyle w:val="NormlWeb"/>
      </w:pPr>
      <w:r w:rsidRPr="00202502">
        <w:t>A rendelet mellékletében szabályozott étkeztetést igénybe vev</w:t>
      </w:r>
      <w:r>
        <w:t>ő</w:t>
      </w:r>
      <w:r w:rsidRPr="00202502">
        <w:t>k által fizetend</w:t>
      </w:r>
      <w:r>
        <w:t>ő</w:t>
      </w:r>
      <w:r w:rsidRPr="00202502">
        <w:t xml:space="preserve"> térítési díj táblázatban csak a nyersanyagnormák (intézményi térítési díj) szerepelhetnek a személyi fizetend</w:t>
      </w:r>
      <w:r>
        <w:t>ő</w:t>
      </w:r>
      <w:r w:rsidRPr="00202502">
        <w:t xml:space="preserve"> térítési díj nem, tekintettel arra, hogy az önkormányzat nincs benne az ÁFA körben. Igényként merült fel az é</w:t>
      </w:r>
      <w:r>
        <w:t>tkezés lemondásának szabályai</w:t>
      </w:r>
      <w:r w:rsidRPr="00202502">
        <w:t>, az étkezési térítési díj hátralék esetén ellátandó fel</w:t>
      </w:r>
      <w:r>
        <w:t xml:space="preserve">adatok illetve az étkezés </w:t>
      </w:r>
      <w:proofErr w:type="gramStart"/>
      <w:r>
        <w:t>megszű</w:t>
      </w:r>
      <w:r w:rsidRPr="00202502">
        <w:t>ntetésének</w:t>
      </w:r>
      <w:proofErr w:type="gramEnd"/>
      <w:r w:rsidRPr="00202502">
        <w:t xml:space="preserve"> eseteinek rendeletben történ szabályozása.</w:t>
      </w:r>
    </w:p>
    <w:p w:rsidR="00F21EE9" w:rsidRPr="00202502" w:rsidRDefault="00F21EE9" w:rsidP="00F21EE9">
      <w:r w:rsidRPr="00202502">
        <w:rPr>
          <w:b/>
          <w:bCs/>
        </w:rPr>
        <w:t>Részletes indokolás</w:t>
      </w:r>
      <w:r w:rsidRPr="00202502">
        <w:br/>
      </w:r>
      <w:r w:rsidRPr="00202502">
        <w:rPr>
          <w:i/>
          <w:iCs/>
        </w:rPr>
        <w:t>Az 1. §</w:t>
      </w:r>
      <w:proofErr w:type="spellStart"/>
      <w:r w:rsidRPr="00202502">
        <w:rPr>
          <w:i/>
          <w:iCs/>
        </w:rPr>
        <w:t>-</w:t>
      </w:r>
      <w:proofErr w:type="gramStart"/>
      <w:r w:rsidRPr="00202502">
        <w:rPr>
          <w:i/>
          <w:iCs/>
        </w:rPr>
        <w:t>hoz</w:t>
      </w:r>
      <w:proofErr w:type="spellEnd"/>
      <w:proofErr w:type="gramEnd"/>
      <w:r w:rsidRPr="00202502">
        <w:t xml:space="preserve"> A rendelet hatályáról rendelkezik.</w:t>
      </w:r>
      <w:r w:rsidRPr="00202502">
        <w:br/>
      </w:r>
      <w:r w:rsidRPr="00202502">
        <w:rPr>
          <w:i/>
          <w:iCs/>
        </w:rPr>
        <w:t>A 2. §</w:t>
      </w:r>
      <w:proofErr w:type="spellStart"/>
      <w:r w:rsidRPr="00202502">
        <w:rPr>
          <w:i/>
          <w:iCs/>
        </w:rPr>
        <w:t>-hoz</w:t>
      </w:r>
      <w:proofErr w:type="spellEnd"/>
      <w:r w:rsidRPr="00202502">
        <w:t xml:space="preserve"> Az étkezés lemondásának szabályait szabályozza. </w:t>
      </w:r>
    </w:p>
    <w:p w:rsidR="00F21EE9" w:rsidRPr="00202502" w:rsidRDefault="00F21EE9" w:rsidP="00F21EE9">
      <w:pPr>
        <w:pStyle w:val="NormlWeb"/>
      </w:pPr>
      <w:r w:rsidRPr="00202502">
        <w:rPr>
          <w:i/>
          <w:iCs/>
        </w:rPr>
        <w:t>A 3.§</w:t>
      </w:r>
      <w:proofErr w:type="spellStart"/>
      <w:r w:rsidRPr="00202502">
        <w:rPr>
          <w:i/>
          <w:iCs/>
        </w:rPr>
        <w:t>-hoz</w:t>
      </w:r>
      <w:proofErr w:type="spellEnd"/>
      <w:r w:rsidRPr="00202502">
        <w:br/>
        <w:t>Az étkezési térítési díj hátralék esetén ellátandó feladatokat illetve az étkezés megszüntetésének eseteit szabályozza.</w:t>
      </w:r>
    </w:p>
    <w:p w:rsidR="00F21EE9" w:rsidRPr="00202502" w:rsidRDefault="00F21EE9" w:rsidP="00F21EE9">
      <w:pPr>
        <w:pStyle w:val="NormlWeb"/>
      </w:pPr>
      <w:r w:rsidRPr="00202502">
        <w:rPr>
          <w:i/>
          <w:iCs/>
        </w:rPr>
        <w:t>A 4.§</w:t>
      </w:r>
      <w:proofErr w:type="spellStart"/>
      <w:r w:rsidRPr="00202502">
        <w:rPr>
          <w:i/>
          <w:iCs/>
        </w:rPr>
        <w:t>-hoz</w:t>
      </w:r>
      <w:proofErr w:type="spellEnd"/>
      <w:r w:rsidRPr="00202502">
        <w:br/>
      </w:r>
      <w:proofErr w:type="gramStart"/>
      <w:r w:rsidRPr="00202502">
        <w:t>A</w:t>
      </w:r>
      <w:proofErr w:type="gramEnd"/>
      <w:r w:rsidRPr="00202502">
        <w:t xml:space="preserve"> rendelet hatályba lépésének id</w:t>
      </w:r>
      <w:r>
        <w:t>ő</w:t>
      </w:r>
      <w:r w:rsidRPr="00202502">
        <w:t>pontját tartalmazza. Egyúttal rendelkezik a hatályos rendelet hatályon kívül helyezésér</w:t>
      </w:r>
      <w:r>
        <w:t>ő</w:t>
      </w:r>
      <w:r w:rsidRPr="00202502">
        <w:t>l.</w:t>
      </w:r>
    </w:p>
    <w:p w:rsidR="00F21EE9" w:rsidRPr="00202502" w:rsidRDefault="00F21EE9" w:rsidP="00F21EE9"/>
    <w:p w:rsidR="00F21EE9" w:rsidRPr="00202502" w:rsidRDefault="00F21EE9" w:rsidP="00F21EE9"/>
    <w:p w:rsidR="00F21EE9" w:rsidRDefault="00F21EE9" w:rsidP="00F21EE9"/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EE9"/>
    <w:rsid w:val="002C6AE6"/>
    <w:rsid w:val="004256F8"/>
    <w:rsid w:val="00581459"/>
    <w:rsid w:val="007E2319"/>
    <w:rsid w:val="00EB2068"/>
    <w:rsid w:val="00F2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EE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21E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2013-12-18T10:37:00Z</dcterms:created>
  <dcterms:modified xsi:type="dcterms:W3CDTF">2013-12-18T10:38:00Z</dcterms:modified>
</cp:coreProperties>
</file>