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86" w:rsidRPr="00F02C90" w:rsidRDefault="00C97D86" w:rsidP="00C97D86">
      <w:pPr>
        <w:jc w:val="center"/>
        <w:rPr>
          <w:rFonts w:ascii="Garamond" w:hAnsi="Garamond"/>
          <w:b/>
        </w:rPr>
      </w:pPr>
      <w:r w:rsidRPr="00F02C90">
        <w:rPr>
          <w:rFonts w:ascii="Garamond" w:hAnsi="Garamond"/>
          <w:b/>
        </w:rPr>
        <w:t>INDOKOLÁS-HATÁSVIZSGÁLAT</w:t>
      </w:r>
    </w:p>
    <w:p w:rsidR="00C97D86" w:rsidRDefault="00C97D86" w:rsidP="00C97D86"/>
    <w:p w:rsidR="00C97D86" w:rsidRPr="007D6A8F" w:rsidRDefault="00C97D86" w:rsidP="00C97D86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u w:val="single"/>
        </w:rPr>
      </w:pPr>
      <w:r w:rsidRPr="007D6A8F">
        <w:rPr>
          <w:rFonts w:ascii="Garamond" w:eastAsia="Calibri" w:hAnsi="Garamond"/>
          <w:sz w:val="24"/>
          <w:szCs w:val="24"/>
          <w:u w:val="single"/>
        </w:rPr>
        <w:t>Indokolási kötelezettség a jogalkotásról szóló 2010. évi CXXX. törvény 18. § alapján:</w:t>
      </w:r>
    </w:p>
    <w:p w:rsidR="00C97D86" w:rsidRPr="007D6A8F" w:rsidRDefault="00C97D86" w:rsidP="00C97D86">
      <w:pPr>
        <w:autoSpaceDE w:val="0"/>
        <w:autoSpaceDN w:val="0"/>
        <w:adjustRightInd w:val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bCs/>
          <w:i/>
          <w:sz w:val="24"/>
          <w:szCs w:val="24"/>
        </w:rPr>
        <w:t>"18. §</w:t>
      </w:r>
      <w:r w:rsidRPr="007D6A8F">
        <w:rPr>
          <w:rFonts w:ascii="Garamond" w:eastAsia="Calibri" w:hAnsi="Garamond"/>
          <w:b/>
          <w:bCs/>
          <w:i/>
          <w:sz w:val="24"/>
          <w:szCs w:val="24"/>
        </w:rPr>
        <w:t xml:space="preserve"> </w:t>
      </w:r>
      <w:r w:rsidRPr="007D6A8F">
        <w:rPr>
          <w:rFonts w:ascii="Garamond" w:eastAsia="Calibri" w:hAnsi="Garamond"/>
          <w:i/>
          <w:sz w:val="24"/>
          <w:szCs w:val="24"/>
        </w:rPr>
        <w:t>(1) A jogszabály tervezetéhez a jogszabály előkészítője indokolást csatol, amelyben bemutatja azokat a társadalmi, gazdasági, szakmai okokat és célokat, amelyek a javasolt szabályozást szükségessé teszik, továbbá ismerteti a jogi szabályozás várható hatásait.</w:t>
      </w:r>
    </w:p>
    <w:p w:rsidR="00C97D86" w:rsidRDefault="00C97D86" w:rsidP="00C97D86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4D1097">
        <w:rPr>
          <w:rFonts w:ascii="Garamond" w:eastAsia="Calibri" w:hAnsi="Garamond"/>
          <w:b/>
          <w:color w:val="000000"/>
          <w:sz w:val="24"/>
          <w:szCs w:val="24"/>
          <w:u w:val="single"/>
        </w:rPr>
        <w:t>A rendeletalkotás indoka</w:t>
      </w:r>
      <w:proofErr w:type="gramStart"/>
      <w:r w:rsidRPr="004D1097">
        <w:rPr>
          <w:rFonts w:ascii="Garamond" w:eastAsia="Calibri" w:hAnsi="Garamond"/>
          <w:b/>
          <w:color w:val="000000"/>
          <w:sz w:val="24"/>
          <w:szCs w:val="24"/>
        </w:rPr>
        <w:t>:</w:t>
      </w:r>
      <w:r w:rsidRPr="007D6A8F">
        <w:rPr>
          <w:rFonts w:ascii="Garamond" w:eastAsia="Calibri" w:hAnsi="Garamond"/>
          <w:color w:val="000000"/>
          <w:sz w:val="24"/>
          <w:szCs w:val="24"/>
        </w:rPr>
        <w:t xml:space="preserve"> </w:t>
      </w:r>
      <w:r>
        <w:rPr>
          <w:rFonts w:ascii="Garamond" w:eastAsia="Calibri" w:hAnsi="Garamond"/>
          <w:color w:val="000000"/>
          <w:sz w:val="24"/>
          <w:szCs w:val="24"/>
        </w:rPr>
        <w:t xml:space="preserve"> A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vízgazdálkodásról szóló 1995. évi LVII törvény (továbbiakban: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Vgt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.) 44/C. § (1) bekezdése szerint a települési önkormányzat kötelezően ellátandó közszolgáltatásként a közüzemi csatornahálózatba vagy a vízgazdálkodási jogkör gyakorlásáról szóló kormányrendeletben meghatározott módon engedélyezett egyedi szennyvízkezelés után befogadóba nem vezetett háztartási szennyvíz begyűjtésére közszolgáltatást szervez és tart fenn. </w:t>
      </w:r>
    </w:p>
    <w:p w:rsidR="00C97D86" w:rsidRDefault="00C97D86" w:rsidP="00C97D86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>
        <w:rPr>
          <w:rFonts w:ascii="Garamond" w:eastAsia="Calibri" w:hAnsi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Vgt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. 44/C. § (2) bekezdés e) pontja alapján a települési önkormányzat képviselő-testülete önkormányzati rendeletben állapítja meg az ingatlantulajdonost terhelő díjfizetési kötelezettséget, az alkalmazandó díj legmagasabb mértékét, megfizetésének rendjét, az esetleges kedvezmények és a szolgáltatás ingyenességének eseteit. </w:t>
      </w:r>
    </w:p>
    <w:p w:rsidR="00C97D86" w:rsidRDefault="00C97D86" w:rsidP="00C97D86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>
        <w:rPr>
          <w:rFonts w:ascii="Garamond" w:eastAsia="Calibri" w:hAnsi="Garamond"/>
          <w:color w:val="000000"/>
          <w:sz w:val="24"/>
          <w:szCs w:val="24"/>
        </w:rPr>
        <w:t>Sárkeszi Község Önkormányzat képviselő-testülete a 8/2015. (VIII. 26.) önkormányzati rendeletében rendelkezett a nem közművel összegyűjtött háztartási szennyvíz begyűjtésére vonatkozó kötelező közszolgáltatásról (továbbiakban: Alaprendelet).</w:t>
      </w:r>
    </w:p>
    <w:p w:rsidR="00C97D86" w:rsidRDefault="00C97D86" w:rsidP="00C97D86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>
        <w:rPr>
          <w:rFonts w:ascii="Garamond" w:eastAsia="Calibri" w:hAnsi="Garamond"/>
          <w:color w:val="000000"/>
          <w:sz w:val="24"/>
          <w:szCs w:val="24"/>
        </w:rPr>
        <w:t>Az Alaprendeletet a képviselő-testület a 12/2020. (IX. 28.) önkormányzati rendeletével (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továbbiakban :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Módosító rendelet) módosította. A módosító rendelet 2020. október 28-án került kihirdetésre és 2020. október 1. napján lépett hatályba, mely ellentétes a Magyarország gazdasági 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stabilitásáról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szóló 2011. évi CXCIV. törvény (továbbiakban: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Gst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>.)  32. §-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ával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, miszerint a fizetési kötelezettséget megállapító, fizetésre kötelezettek körét bővítő, a fizetési kötelezettség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terhét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 növelő, a kedvezményt, mentességet megszüntető vagy korlátozó jogszabály kihirdetése és hatályba lépése között legalább 30 napnak el kell telnie. </w:t>
      </w:r>
    </w:p>
    <w:p w:rsidR="00C97D86" w:rsidRDefault="00C97D86" w:rsidP="00C97D86">
      <w:pPr>
        <w:jc w:val="both"/>
        <w:rPr>
          <w:rFonts w:ascii="Garamond" w:eastAsia="Calibri" w:hAnsi="Garamond"/>
          <w:sz w:val="24"/>
          <w:szCs w:val="24"/>
        </w:rPr>
      </w:pPr>
      <w:r w:rsidRPr="007D6A8F">
        <w:rPr>
          <w:rFonts w:ascii="Garamond" w:eastAsia="Calibri" w:hAnsi="Garamond"/>
          <w:sz w:val="24"/>
          <w:szCs w:val="24"/>
          <w:u w:val="single"/>
        </w:rPr>
        <w:t>A rendeletalkotás célja</w:t>
      </w:r>
      <w:r w:rsidRPr="007D6A8F">
        <w:rPr>
          <w:rFonts w:ascii="Garamond" w:eastAsia="Calibri" w:hAnsi="Garamond"/>
          <w:sz w:val="24"/>
          <w:szCs w:val="24"/>
        </w:rPr>
        <w:t xml:space="preserve">: </w:t>
      </w:r>
      <w:r>
        <w:rPr>
          <w:rFonts w:ascii="Garamond" w:eastAsia="Calibri" w:hAnsi="Garamond"/>
          <w:sz w:val="24"/>
          <w:szCs w:val="24"/>
        </w:rPr>
        <w:t xml:space="preserve">a törvénysértés megszüntetése oly módon, hogy a rendelet kihirdetése a </w:t>
      </w:r>
      <w:proofErr w:type="spellStart"/>
      <w:r>
        <w:rPr>
          <w:rFonts w:ascii="Garamond" w:eastAsia="Calibri" w:hAnsi="Garamond"/>
          <w:sz w:val="24"/>
          <w:szCs w:val="24"/>
        </w:rPr>
        <w:t>Gst</w:t>
      </w:r>
      <w:proofErr w:type="spellEnd"/>
      <w:r>
        <w:rPr>
          <w:rFonts w:ascii="Garamond" w:eastAsia="Calibri" w:hAnsi="Garamond"/>
          <w:sz w:val="24"/>
          <w:szCs w:val="24"/>
        </w:rPr>
        <w:t xml:space="preserve">. hivatkozott rendelkezéseinek megfelelően történjen. A jelen módosító rendelet díjemelést nem tartalmaz, hatálybaléptetése megfelel a </w:t>
      </w:r>
      <w:proofErr w:type="spellStart"/>
      <w:r>
        <w:rPr>
          <w:rFonts w:ascii="Garamond" w:eastAsia="Calibri" w:hAnsi="Garamond"/>
          <w:sz w:val="24"/>
          <w:szCs w:val="24"/>
        </w:rPr>
        <w:t>Gst</w:t>
      </w:r>
      <w:proofErr w:type="spellEnd"/>
      <w:r>
        <w:rPr>
          <w:rFonts w:ascii="Garamond" w:eastAsia="Calibri" w:hAnsi="Garamond"/>
          <w:sz w:val="24"/>
          <w:szCs w:val="24"/>
        </w:rPr>
        <w:t>. 32. §-</w:t>
      </w:r>
      <w:proofErr w:type="spellStart"/>
      <w:r>
        <w:rPr>
          <w:rFonts w:ascii="Garamond" w:eastAsia="Calibri" w:hAnsi="Garamond"/>
          <w:sz w:val="24"/>
          <w:szCs w:val="24"/>
        </w:rPr>
        <w:t>ának</w:t>
      </w:r>
      <w:proofErr w:type="spellEnd"/>
      <w:r>
        <w:rPr>
          <w:rFonts w:ascii="Garamond" w:eastAsia="Calibri" w:hAnsi="Garamond"/>
          <w:sz w:val="24"/>
          <w:szCs w:val="24"/>
        </w:rPr>
        <w:t xml:space="preserve">. </w:t>
      </w:r>
    </w:p>
    <w:p w:rsidR="00C97D86" w:rsidRPr="00B22C97" w:rsidRDefault="00C97D86" w:rsidP="00C97D86">
      <w:pPr>
        <w:jc w:val="both"/>
        <w:rPr>
          <w:rFonts w:ascii="Garamond" w:eastAsia="Calibri" w:hAnsi="Garamond"/>
          <w:b/>
          <w:sz w:val="24"/>
          <w:szCs w:val="24"/>
          <w:u w:val="single"/>
        </w:rPr>
      </w:pPr>
      <w:r w:rsidRPr="00B22C97">
        <w:rPr>
          <w:rFonts w:ascii="Garamond" w:eastAsia="Calibri" w:hAnsi="Garamond"/>
          <w:b/>
          <w:sz w:val="24"/>
          <w:szCs w:val="24"/>
          <w:u w:val="single"/>
        </w:rPr>
        <w:t>Részletes indokolás:</w:t>
      </w:r>
    </w:p>
    <w:p w:rsidR="00C97D86" w:rsidRDefault="00C97D86" w:rsidP="00C97D86">
      <w:pPr>
        <w:pStyle w:val="Listaszerbekezds"/>
        <w:numPr>
          <w:ilvl w:val="0"/>
          <w:numId w:val="1"/>
        </w:numPr>
        <w:ind w:left="993" w:hanging="567"/>
        <w:jc w:val="both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>§ Az Alaprendelet 9. § (2) bekezdésének módosítását tartalmazza, mely a Módosító rendelettel azonos szöveg alkalmazásával került megfogalmazásra</w:t>
      </w:r>
    </w:p>
    <w:p w:rsidR="00C97D86" w:rsidRPr="00804BBF" w:rsidRDefault="00C97D86" w:rsidP="00C97D86">
      <w:pPr>
        <w:pStyle w:val="Listaszerbekezds"/>
        <w:numPr>
          <w:ilvl w:val="0"/>
          <w:numId w:val="1"/>
        </w:numPr>
        <w:jc w:val="both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   </w:t>
      </w:r>
      <w:r w:rsidRPr="00804BBF">
        <w:rPr>
          <w:rFonts w:ascii="Garamond" w:eastAsia="Calibri" w:hAnsi="Garamond"/>
          <w:sz w:val="24"/>
          <w:szCs w:val="24"/>
        </w:rPr>
        <w:t>§ A hatályba léptető rendelkezéseket tartalmazza.</w:t>
      </w:r>
      <w:r>
        <w:rPr>
          <w:rFonts w:ascii="Garamond" w:eastAsia="Calibri" w:hAnsi="Garamond"/>
          <w:sz w:val="24"/>
          <w:szCs w:val="24"/>
        </w:rPr>
        <w:t xml:space="preserve"> A rendelet hatályba lépésével egyidejűleg hatályát veszti a </w:t>
      </w:r>
      <w:proofErr w:type="spellStart"/>
      <w:r>
        <w:rPr>
          <w:rFonts w:ascii="Garamond" w:eastAsia="Calibri" w:hAnsi="Garamond"/>
          <w:sz w:val="24"/>
          <w:szCs w:val="24"/>
        </w:rPr>
        <w:t>Gst</w:t>
      </w:r>
      <w:proofErr w:type="spellEnd"/>
      <w:r>
        <w:rPr>
          <w:rFonts w:ascii="Garamond" w:eastAsia="Calibri" w:hAnsi="Garamond"/>
          <w:sz w:val="24"/>
          <w:szCs w:val="24"/>
        </w:rPr>
        <w:t>. 32. §-</w:t>
      </w:r>
      <w:proofErr w:type="spellStart"/>
      <w:r>
        <w:rPr>
          <w:rFonts w:ascii="Garamond" w:eastAsia="Calibri" w:hAnsi="Garamond"/>
          <w:sz w:val="24"/>
          <w:szCs w:val="24"/>
        </w:rPr>
        <w:t>ával</w:t>
      </w:r>
      <w:proofErr w:type="spellEnd"/>
      <w:r>
        <w:rPr>
          <w:rFonts w:ascii="Garamond" w:eastAsia="Calibri" w:hAnsi="Garamond"/>
          <w:sz w:val="24"/>
          <w:szCs w:val="24"/>
        </w:rPr>
        <w:t xml:space="preserve"> ellentétes módon kihirdetett Módosító rendelet.</w:t>
      </w:r>
    </w:p>
    <w:p w:rsidR="00C97D86" w:rsidRDefault="00C97D86" w:rsidP="00C97D86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u w:val="single"/>
        </w:rPr>
      </w:pPr>
    </w:p>
    <w:p w:rsidR="00C97D86" w:rsidRDefault="00C97D86" w:rsidP="00C97D86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u w:val="single"/>
        </w:rPr>
      </w:pPr>
    </w:p>
    <w:p w:rsidR="00C97D86" w:rsidRDefault="00C97D86" w:rsidP="00C97D86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u w:val="single"/>
        </w:rPr>
      </w:pPr>
    </w:p>
    <w:p w:rsidR="00C97D86" w:rsidRDefault="00C97D86" w:rsidP="00C97D86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u w:val="single"/>
        </w:rPr>
      </w:pPr>
    </w:p>
    <w:p w:rsidR="00C97D86" w:rsidRPr="007D6A8F" w:rsidRDefault="00C97D86" w:rsidP="00C97D86">
      <w:pPr>
        <w:autoSpaceDE w:val="0"/>
        <w:autoSpaceDN w:val="0"/>
        <w:adjustRightInd w:val="0"/>
        <w:jc w:val="both"/>
        <w:rPr>
          <w:rFonts w:ascii="Garamond" w:eastAsia="Calibri" w:hAnsi="Garamond"/>
          <w:bCs/>
          <w:i/>
          <w:sz w:val="24"/>
          <w:szCs w:val="24"/>
        </w:rPr>
      </w:pPr>
      <w:r w:rsidRPr="007D6A8F">
        <w:rPr>
          <w:rFonts w:ascii="Garamond" w:eastAsia="Calibri" w:hAnsi="Garamond"/>
          <w:sz w:val="24"/>
          <w:szCs w:val="24"/>
          <w:u w:val="single"/>
        </w:rPr>
        <w:lastRenderedPageBreak/>
        <w:t>Előzetes hatásvizsgálat a jogalkotásról szóló 2010. évi CXXX. törvény 17. § alapján</w:t>
      </w:r>
      <w:r w:rsidRPr="007D6A8F">
        <w:rPr>
          <w:rFonts w:ascii="Garamond" w:eastAsia="Calibri" w:hAnsi="Garamond"/>
          <w:sz w:val="24"/>
          <w:szCs w:val="24"/>
        </w:rPr>
        <w:t>:</w:t>
      </w:r>
    </w:p>
    <w:p w:rsidR="00C97D86" w:rsidRPr="007D6A8F" w:rsidRDefault="00C97D86" w:rsidP="00C97D8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bCs/>
          <w:i/>
          <w:sz w:val="24"/>
          <w:szCs w:val="24"/>
        </w:rPr>
        <w:t>"17. §</w:t>
      </w:r>
      <w:r w:rsidRPr="007D6A8F">
        <w:rPr>
          <w:rFonts w:ascii="Garamond" w:eastAsia="Calibri" w:hAnsi="Garamond"/>
          <w:b/>
          <w:bCs/>
          <w:i/>
          <w:sz w:val="24"/>
          <w:szCs w:val="24"/>
        </w:rPr>
        <w:t xml:space="preserve"> </w:t>
      </w:r>
      <w:r w:rsidRPr="007D6A8F">
        <w:rPr>
          <w:rFonts w:ascii="Garamond" w:eastAsia="Calibri" w:hAnsi="Garamond"/>
          <w:i/>
          <w:sz w:val="24"/>
          <w:szCs w:val="24"/>
        </w:rPr>
        <w:t>(1) A jogszabály előkészítője - a jogszabály feltételezett hatásaihoz igazodó részletességű - előzetes hatásvizsgálat elvégzésével felméri a szabályozás várható következményeit. Az előzetes hatásvizsgálat eredményéről a Kormány által előterjesztendő törvényjavaslat, illetve kormányrendelet esetén a Kormányt, önkormányzati rendelet esetén a helyi önkormányzat képviselő-testületét tájékoztatni kell. Miniszteri rendelet rendelkezhet úgy, hogy az általa meghatározott esetben a közjogi szervezetszabályozó eszköz előkészítője előzetes hatásvizsgálatot végez.</w:t>
      </w:r>
    </w:p>
    <w:p w:rsidR="00C97D86" w:rsidRPr="007D6A8F" w:rsidRDefault="00C97D86" w:rsidP="00C97D8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i/>
          <w:sz w:val="24"/>
          <w:szCs w:val="24"/>
        </w:rPr>
        <w:t>(2) A hatásvizsgálat során vizsgálni kell</w:t>
      </w:r>
    </w:p>
    <w:p w:rsidR="00C97D86" w:rsidRPr="007D6A8F" w:rsidRDefault="00C97D86" w:rsidP="00C97D8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gramStart"/>
      <w:r w:rsidRPr="007D6A8F">
        <w:rPr>
          <w:rFonts w:ascii="Garamond" w:eastAsia="Calibri" w:hAnsi="Garamond"/>
          <w:i/>
          <w:iCs/>
          <w:sz w:val="24"/>
          <w:szCs w:val="24"/>
        </w:rPr>
        <w:t>a</w:t>
      </w:r>
      <w:proofErr w:type="gram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a tervezett jogszabály valamennyi jelentősnek ítélt hatását, különösen</w:t>
      </w:r>
    </w:p>
    <w:p w:rsidR="00C97D86" w:rsidRPr="007D6A8F" w:rsidRDefault="00C97D86" w:rsidP="00C97D8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spellStart"/>
      <w:r w:rsidRPr="007D6A8F">
        <w:rPr>
          <w:rFonts w:ascii="Garamond" w:eastAsia="Calibri" w:hAnsi="Garamond"/>
          <w:i/>
          <w:iCs/>
          <w:sz w:val="24"/>
          <w:szCs w:val="24"/>
        </w:rPr>
        <w:t>aa</w:t>
      </w:r>
      <w:proofErr w:type="spell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társadalmi, gazdasági, költségvetési hatásait,</w:t>
      </w:r>
    </w:p>
    <w:p w:rsidR="00C97D86" w:rsidRPr="007D6A8F" w:rsidRDefault="00C97D86" w:rsidP="00C97D8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gramStart"/>
      <w:r w:rsidRPr="007D6A8F">
        <w:rPr>
          <w:rFonts w:ascii="Garamond" w:eastAsia="Calibri" w:hAnsi="Garamond"/>
          <w:i/>
          <w:iCs/>
          <w:sz w:val="24"/>
          <w:szCs w:val="24"/>
        </w:rPr>
        <w:t>ab</w:t>
      </w:r>
      <w:proofErr w:type="gram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környezeti és egészségi következményeit,</w:t>
      </w:r>
    </w:p>
    <w:p w:rsidR="00C97D86" w:rsidRPr="007D6A8F" w:rsidRDefault="00C97D86" w:rsidP="00C97D8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spellStart"/>
      <w:r w:rsidRPr="007D6A8F">
        <w:rPr>
          <w:rFonts w:ascii="Garamond" w:eastAsia="Calibri" w:hAnsi="Garamond"/>
          <w:i/>
          <w:iCs/>
          <w:sz w:val="24"/>
          <w:szCs w:val="24"/>
        </w:rPr>
        <w:t>ac</w:t>
      </w:r>
      <w:proofErr w:type="spell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 xml:space="preserve">adminisztratív </w:t>
      </w:r>
      <w:proofErr w:type="spellStart"/>
      <w:r w:rsidRPr="007D6A8F">
        <w:rPr>
          <w:rFonts w:ascii="Garamond" w:eastAsia="Calibri" w:hAnsi="Garamond"/>
          <w:i/>
          <w:sz w:val="24"/>
          <w:szCs w:val="24"/>
        </w:rPr>
        <w:t>terheket</w:t>
      </w:r>
      <w:proofErr w:type="spellEnd"/>
      <w:r w:rsidRPr="007D6A8F">
        <w:rPr>
          <w:rFonts w:ascii="Garamond" w:eastAsia="Calibri" w:hAnsi="Garamond"/>
          <w:i/>
          <w:sz w:val="24"/>
          <w:szCs w:val="24"/>
        </w:rPr>
        <w:t xml:space="preserve"> befolyásoló hatásait, valamint</w:t>
      </w:r>
    </w:p>
    <w:p w:rsidR="00C97D86" w:rsidRPr="007D6A8F" w:rsidRDefault="00C97D86" w:rsidP="00C97D8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i/>
          <w:iCs/>
          <w:sz w:val="24"/>
          <w:szCs w:val="24"/>
        </w:rPr>
        <w:t xml:space="preserve">b) </w:t>
      </w:r>
      <w:r w:rsidRPr="007D6A8F">
        <w:rPr>
          <w:rFonts w:ascii="Garamond" w:eastAsia="Calibri" w:hAnsi="Garamond"/>
          <w:i/>
          <w:sz w:val="24"/>
          <w:szCs w:val="24"/>
        </w:rPr>
        <w:t>a jogszabály megalkotásának szükségességét, a jogalkotás elmaradásának várható következményeit, és</w:t>
      </w:r>
    </w:p>
    <w:p w:rsidR="00C97D86" w:rsidRPr="007D6A8F" w:rsidRDefault="00C97D86" w:rsidP="00C97D8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i/>
          <w:iCs/>
          <w:sz w:val="24"/>
          <w:szCs w:val="24"/>
        </w:rPr>
        <w:t xml:space="preserve">c) </w:t>
      </w:r>
      <w:r w:rsidRPr="007D6A8F">
        <w:rPr>
          <w:rFonts w:ascii="Garamond" w:eastAsia="Calibri" w:hAnsi="Garamond"/>
          <w:i/>
          <w:sz w:val="24"/>
          <w:szCs w:val="24"/>
        </w:rPr>
        <w:t>a jogszabály alkalmazásához szükséges személyi, szervezeti, tárgyi és pénzügyi feltételeket."</w:t>
      </w:r>
    </w:p>
    <w:p w:rsidR="00C97D86" w:rsidRDefault="00C97D86" w:rsidP="00C97D86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</w:rPr>
      </w:pPr>
    </w:p>
    <w:p w:rsidR="00C97D86" w:rsidRPr="004D1097" w:rsidRDefault="00C97D86" w:rsidP="00C97D86">
      <w:pPr>
        <w:autoSpaceDE w:val="0"/>
        <w:autoSpaceDN w:val="0"/>
        <w:adjustRightInd w:val="0"/>
        <w:jc w:val="both"/>
        <w:rPr>
          <w:rFonts w:ascii="Garamond" w:eastAsia="Calibri" w:hAnsi="Garamond"/>
          <w:b/>
          <w:sz w:val="24"/>
          <w:szCs w:val="24"/>
        </w:rPr>
      </w:pPr>
      <w:proofErr w:type="gramStart"/>
      <w:r w:rsidRPr="004D1097">
        <w:rPr>
          <w:rFonts w:ascii="Garamond" w:eastAsia="Calibri" w:hAnsi="Garamond"/>
          <w:b/>
          <w:sz w:val="24"/>
          <w:szCs w:val="24"/>
        </w:rPr>
        <w:t>a</w:t>
      </w:r>
      <w:proofErr w:type="gramEnd"/>
      <w:r w:rsidRPr="004D1097">
        <w:rPr>
          <w:rFonts w:ascii="Garamond" w:eastAsia="Calibri" w:hAnsi="Garamond"/>
          <w:b/>
          <w:sz w:val="24"/>
          <w:szCs w:val="24"/>
        </w:rPr>
        <w:t xml:space="preserve">) </w:t>
      </w:r>
      <w:r w:rsidRPr="004D1097">
        <w:rPr>
          <w:rFonts w:ascii="Garamond" w:eastAsia="Calibri" w:hAnsi="Garamond"/>
          <w:b/>
          <w:sz w:val="24"/>
          <w:szCs w:val="24"/>
          <w:u w:val="single"/>
        </w:rPr>
        <w:t>A tervezett jogszabály valamennyi jelentősnek ítélt hatása, különösen</w:t>
      </w:r>
    </w:p>
    <w:p w:rsidR="00C97D86" w:rsidRPr="00452FC3" w:rsidRDefault="00C97D86" w:rsidP="00C97D86">
      <w:pPr>
        <w:ind w:left="284"/>
        <w:jc w:val="both"/>
        <w:rPr>
          <w:rFonts w:ascii="Garamond" w:hAnsi="Garamond"/>
          <w:sz w:val="24"/>
          <w:szCs w:val="24"/>
        </w:rPr>
      </w:pPr>
      <w:proofErr w:type="spellStart"/>
      <w:r w:rsidRPr="007D6A8F">
        <w:rPr>
          <w:rFonts w:ascii="Garamond" w:eastAsia="Calibri" w:hAnsi="Garamond"/>
          <w:iCs/>
          <w:sz w:val="24"/>
          <w:szCs w:val="24"/>
        </w:rPr>
        <w:t>aa</w:t>
      </w:r>
      <w:proofErr w:type="spellEnd"/>
      <w:r w:rsidRPr="007D6A8F">
        <w:rPr>
          <w:rFonts w:ascii="Garamond" w:eastAsia="Calibri" w:hAnsi="Garamond"/>
          <w:iCs/>
          <w:sz w:val="24"/>
          <w:szCs w:val="24"/>
        </w:rPr>
        <w:t xml:space="preserve">) </w:t>
      </w:r>
      <w:proofErr w:type="gramStart"/>
      <w:r w:rsidRPr="00452FC3">
        <w:rPr>
          <w:rFonts w:ascii="Garamond" w:hAnsi="Garamond"/>
          <w:sz w:val="24"/>
          <w:szCs w:val="24"/>
        </w:rPr>
        <w:t>A</w:t>
      </w:r>
      <w:proofErr w:type="gramEnd"/>
      <w:r w:rsidRPr="00452FC3">
        <w:rPr>
          <w:rFonts w:ascii="Garamond" w:hAnsi="Garamond"/>
          <w:sz w:val="24"/>
          <w:szCs w:val="24"/>
        </w:rPr>
        <w:t xml:space="preserve"> rendelet-tervezetben biztosítja a település tisztaság, az egészséges társadalmi környezet biztosítását. A rendelettervezetnek az önkormányzatot érintő gazdasági hatása nem számottevő.  </w:t>
      </w:r>
    </w:p>
    <w:p w:rsidR="00C97D86" w:rsidRPr="00452FC3" w:rsidRDefault="00C97D86" w:rsidP="00C97D86">
      <w:pPr>
        <w:ind w:left="284"/>
        <w:jc w:val="both"/>
        <w:rPr>
          <w:rFonts w:ascii="Garamond" w:hAnsi="Garamond"/>
          <w:sz w:val="24"/>
          <w:szCs w:val="24"/>
        </w:rPr>
      </w:pPr>
      <w:proofErr w:type="gramStart"/>
      <w:r w:rsidRPr="007D6A8F">
        <w:rPr>
          <w:rFonts w:ascii="Garamond" w:eastAsia="Calibri" w:hAnsi="Garamond"/>
          <w:iCs/>
          <w:sz w:val="24"/>
          <w:szCs w:val="24"/>
        </w:rPr>
        <w:t>ab</w:t>
      </w:r>
      <w:proofErr w:type="gramEnd"/>
      <w:r w:rsidRPr="007D6A8F">
        <w:rPr>
          <w:rFonts w:ascii="Garamond" w:eastAsia="Calibri" w:hAnsi="Garamond"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sz w:val="24"/>
          <w:szCs w:val="24"/>
          <w:u w:val="single"/>
        </w:rPr>
        <w:t>környezeti és egészségi következményei</w:t>
      </w:r>
      <w:r w:rsidRPr="007D6A8F">
        <w:rPr>
          <w:rFonts w:ascii="Garamond" w:eastAsia="Calibri" w:hAnsi="Garamond"/>
          <w:sz w:val="24"/>
          <w:szCs w:val="24"/>
        </w:rPr>
        <w:t xml:space="preserve">: </w:t>
      </w:r>
      <w:r w:rsidRPr="00452FC3">
        <w:rPr>
          <w:rFonts w:ascii="Garamond" w:hAnsi="Garamond"/>
          <w:sz w:val="24"/>
          <w:szCs w:val="24"/>
        </w:rPr>
        <w:t>A rendelet-tervezetnek környezeti és egészségi hatása jelentős. A</w:t>
      </w:r>
      <w:r>
        <w:rPr>
          <w:rFonts w:ascii="Garamond" w:hAnsi="Garamond"/>
          <w:sz w:val="24"/>
          <w:szCs w:val="24"/>
        </w:rPr>
        <w:t xml:space="preserve"> egészséges</w:t>
      </w:r>
      <w:r w:rsidRPr="00452FC3">
        <w:rPr>
          <w:rFonts w:ascii="Garamond" w:hAnsi="Garamond"/>
          <w:sz w:val="24"/>
          <w:szCs w:val="24"/>
        </w:rPr>
        <w:t xml:space="preserve"> település</w:t>
      </w:r>
      <w:r>
        <w:rPr>
          <w:rFonts w:ascii="Garamond" w:hAnsi="Garamond"/>
          <w:sz w:val="24"/>
          <w:szCs w:val="24"/>
        </w:rPr>
        <w:t>i környezet</w:t>
      </w:r>
      <w:r w:rsidRPr="00452FC3">
        <w:rPr>
          <w:rFonts w:ascii="Garamond" w:hAnsi="Garamond"/>
          <w:sz w:val="24"/>
          <w:szCs w:val="24"/>
        </w:rPr>
        <w:t xml:space="preserve"> nagymértékben </w:t>
      </w:r>
      <w:r>
        <w:rPr>
          <w:rFonts w:ascii="Garamond" w:hAnsi="Garamond"/>
          <w:sz w:val="24"/>
          <w:szCs w:val="24"/>
        </w:rPr>
        <w:t>befolyásolja</w:t>
      </w:r>
      <w:r w:rsidRPr="00452FC3">
        <w:rPr>
          <w:rFonts w:ascii="Garamond" w:hAnsi="Garamond"/>
          <w:sz w:val="24"/>
          <w:szCs w:val="24"/>
        </w:rPr>
        <w:t xml:space="preserve"> a település fejlődését. </w:t>
      </w:r>
    </w:p>
    <w:p w:rsidR="00C97D86" w:rsidRPr="007D6A8F" w:rsidRDefault="00C97D86" w:rsidP="00C97D86">
      <w:pPr>
        <w:jc w:val="both"/>
        <w:rPr>
          <w:rFonts w:ascii="Garamond" w:eastAsia="Calibri" w:hAnsi="Garamond"/>
          <w:sz w:val="24"/>
          <w:szCs w:val="24"/>
        </w:rPr>
      </w:pPr>
      <w:proofErr w:type="spellStart"/>
      <w:r w:rsidRPr="007D6A8F">
        <w:rPr>
          <w:rFonts w:ascii="Garamond" w:eastAsia="Calibri" w:hAnsi="Garamond"/>
          <w:iCs/>
          <w:sz w:val="24"/>
          <w:szCs w:val="24"/>
        </w:rPr>
        <w:t>ac</w:t>
      </w:r>
      <w:proofErr w:type="spellEnd"/>
      <w:r w:rsidRPr="007D6A8F">
        <w:rPr>
          <w:rFonts w:ascii="Garamond" w:eastAsia="Calibri" w:hAnsi="Garamond"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sz w:val="24"/>
          <w:szCs w:val="24"/>
          <w:u w:val="single"/>
        </w:rPr>
        <w:t xml:space="preserve">adminisztratív </w:t>
      </w:r>
      <w:proofErr w:type="spellStart"/>
      <w:r w:rsidRPr="007D6A8F">
        <w:rPr>
          <w:rFonts w:ascii="Garamond" w:eastAsia="Calibri" w:hAnsi="Garamond"/>
          <w:sz w:val="24"/>
          <w:szCs w:val="24"/>
          <w:u w:val="single"/>
        </w:rPr>
        <w:t>terheket</w:t>
      </w:r>
      <w:proofErr w:type="spellEnd"/>
      <w:r w:rsidRPr="007D6A8F">
        <w:rPr>
          <w:rFonts w:ascii="Garamond" w:eastAsia="Calibri" w:hAnsi="Garamond"/>
          <w:sz w:val="24"/>
          <w:szCs w:val="24"/>
          <w:u w:val="single"/>
        </w:rPr>
        <w:t xml:space="preserve"> befolyásoló hatásai</w:t>
      </w:r>
      <w:r w:rsidRPr="007D6A8F">
        <w:rPr>
          <w:rFonts w:ascii="Garamond" w:eastAsia="Calibri" w:hAnsi="Garamond"/>
          <w:sz w:val="24"/>
          <w:szCs w:val="24"/>
        </w:rPr>
        <w:t xml:space="preserve">: </w:t>
      </w:r>
      <w:r>
        <w:rPr>
          <w:rFonts w:ascii="Garamond" w:eastAsia="Calibri" w:hAnsi="Garamond"/>
          <w:sz w:val="24"/>
          <w:szCs w:val="24"/>
        </w:rPr>
        <w:t>nem számolunk</w:t>
      </w:r>
    </w:p>
    <w:p w:rsidR="00C97D86" w:rsidRPr="006251B2" w:rsidRDefault="00C97D86" w:rsidP="00C97D86">
      <w:pPr>
        <w:tabs>
          <w:tab w:val="right" w:pos="5160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color w:val="000000"/>
          <w:sz w:val="24"/>
          <w:szCs w:val="24"/>
        </w:rPr>
      </w:pPr>
      <w:r w:rsidRPr="007D6A8F">
        <w:rPr>
          <w:rFonts w:ascii="Garamond" w:eastAsia="Calibri" w:hAnsi="Garamond"/>
          <w:color w:val="000000"/>
          <w:sz w:val="24"/>
          <w:szCs w:val="24"/>
        </w:rPr>
        <w:t xml:space="preserve">b) </w:t>
      </w:r>
      <w:proofErr w:type="gramStart"/>
      <w:r w:rsidRPr="007D6A8F">
        <w:rPr>
          <w:rFonts w:ascii="Garamond" w:eastAsia="Calibri" w:hAnsi="Garamond"/>
          <w:color w:val="000000"/>
          <w:sz w:val="24"/>
          <w:szCs w:val="24"/>
          <w:u w:val="single"/>
        </w:rPr>
        <w:t>A</w:t>
      </w:r>
      <w:proofErr w:type="gramEnd"/>
      <w:r w:rsidRPr="007D6A8F">
        <w:rPr>
          <w:rFonts w:ascii="Garamond" w:eastAsia="Calibri" w:hAnsi="Garamond"/>
          <w:color w:val="000000"/>
          <w:sz w:val="24"/>
          <w:szCs w:val="24"/>
          <w:u w:val="single"/>
        </w:rPr>
        <w:t xml:space="preserve"> jogszabály megalkotásának szükségessége, a jogalkotás elmaradásának várható következményei</w:t>
      </w:r>
      <w:r w:rsidRPr="007D6A8F">
        <w:rPr>
          <w:rFonts w:ascii="Garamond" w:eastAsia="Calibri" w:hAnsi="Garamond"/>
          <w:color w:val="000000"/>
          <w:sz w:val="24"/>
          <w:szCs w:val="24"/>
        </w:rPr>
        <w:t xml:space="preserve">: </w:t>
      </w:r>
      <w:r>
        <w:rPr>
          <w:rFonts w:ascii="Garamond" w:eastAsia="Calibri" w:hAnsi="Garamond"/>
          <w:color w:val="000000"/>
          <w:sz w:val="24"/>
          <w:szCs w:val="24"/>
        </w:rPr>
        <w:t xml:space="preserve">A jogszabálysértés megalkotását a jogszabálysértés megszüntetése indokolja. A jogalkotás 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elmaradása  törvényességi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felügyeleti bírság kiszabását eredményezheti.</w:t>
      </w:r>
    </w:p>
    <w:p w:rsidR="00C97D86" w:rsidRPr="007D6A8F" w:rsidRDefault="00C97D86" w:rsidP="00C97D86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</w:rPr>
      </w:pPr>
      <w:r w:rsidRPr="007D6A8F">
        <w:rPr>
          <w:rFonts w:ascii="Garamond" w:eastAsia="Calibri" w:hAnsi="Garamond"/>
          <w:sz w:val="24"/>
          <w:szCs w:val="24"/>
        </w:rPr>
        <w:t xml:space="preserve">c) </w:t>
      </w:r>
      <w:proofErr w:type="gramStart"/>
      <w:r w:rsidRPr="007D6A8F">
        <w:rPr>
          <w:rFonts w:ascii="Garamond" w:eastAsia="Calibri" w:hAnsi="Garamond"/>
          <w:sz w:val="24"/>
          <w:szCs w:val="24"/>
          <w:u w:val="single"/>
        </w:rPr>
        <w:t>A</w:t>
      </w:r>
      <w:proofErr w:type="gramEnd"/>
      <w:r w:rsidRPr="007D6A8F">
        <w:rPr>
          <w:rFonts w:ascii="Garamond" w:eastAsia="Calibri" w:hAnsi="Garamond"/>
          <w:sz w:val="24"/>
          <w:szCs w:val="24"/>
          <w:u w:val="single"/>
        </w:rPr>
        <w:t xml:space="preserve"> jogszabály alkalmazásához szükséges személyi, szervezeti, tárgyi és pénzügyi feltételek</w:t>
      </w:r>
      <w:r w:rsidRPr="007D6A8F">
        <w:rPr>
          <w:rFonts w:ascii="Garamond" w:eastAsia="Calibri" w:hAnsi="Garamond"/>
          <w:sz w:val="24"/>
          <w:szCs w:val="24"/>
        </w:rPr>
        <w:t>: Különös feltételek nincsenek, illetőleg rendelkezésre állnak.</w:t>
      </w:r>
    </w:p>
    <w:p w:rsidR="0010188C" w:rsidRDefault="0010188C">
      <w:bookmarkStart w:id="0" w:name="_GoBack"/>
      <w:bookmarkEnd w:id="0"/>
    </w:p>
    <w:sectPr w:rsidR="0010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B3EED"/>
    <w:multiLevelType w:val="hybridMultilevel"/>
    <w:tmpl w:val="779C14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86"/>
    <w:rsid w:val="0010188C"/>
    <w:rsid w:val="00C9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6290A-268E-4A4B-A22E-D02E4207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C97D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Sárkeszi</dc:creator>
  <cp:keywords/>
  <dc:description/>
  <cp:lastModifiedBy>Önkormányzat Sárkeszi</cp:lastModifiedBy>
  <cp:revision>1</cp:revision>
  <dcterms:created xsi:type="dcterms:W3CDTF">2021-01-26T08:52:00Z</dcterms:created>
  <dcterms:modified xsi:type="dcterms:W3CDTF">2021-01-26T08:53:00Z</dcterms:modified>
</cp:coreProperties>
</file>