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DD" w:rsidRDefault="00BE07DD" w:rsidP="00E769D4">
      <w:pPr>
        <w:spacing w:after="0"/>
        <w:rPr>
          <w:rFonts w:ascii="Times New Roman" w:hAnsi="Times New Roman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AB729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5A0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F19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XI.23.</w:t>
      </w:r>
      <w:r w:rsidR="00A02F19">
        <w:rPr>
          <w:rFonts w:ascii="Times New Roman" w:hAnsi="Times New Roman"/>
          <w:b/>
          <w:bCs/>
          <w:sz w:val="24"/>
          <w:szCs w:val="24"/>
        </w:rPr>
        <w:t>) önkormányzati rendelete</w:t>
      </w:r>
    </w:p>
    <w:p w:rsidR="00133362" w:rsidRDefault="00A02F19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</w:p>
    <w:p w:rsidR="00544F54" w:rsidRPr="00544F54" w:rsidRDefault="00133362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/201</w:t>
      </w:r>
      <w:r w:rsid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(II.2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.)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önkormányzati rendelet módosításáról</w:t>
      </w:r>
    </w:p>
    <w:p w:rsidR="00A02F19" w:rsidRPr="00544F54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23. §. (1) bekezdésében kapott felh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talmazás alapján az Alaptörvény 32. cikk (2) bekezdésében meghatározott eredeti jogalkotói hatáskörében és az Alaptörvény 32. cikk (1) bekezdés f) pontjaiban meghatározott feladatkö</w:t>
      </w:r>
      <w:r>
        <w:rPr>
          <w:rFonts w:ascii="Times New Roman" w:eastAsia="H2Times" w:hAnsi="Times New Roman"/>
          <w:sz w:val="24"/>
          <w:szCs w:val="24"/>
          <w:lang w:eastAsia="hu-HU"/>
        </w:rPr>
        <w:t>r</w:t>
      </w:r>
      <w:r>
        <w:rPr>
          <w:rFonts w:ascii="Times New Roman" w:eastAsia="H2Times" w:hAnsi="Times New Roman"/>
          <w:sz w:val="24"/>
          <w:szCs w:val="24"/>
          <w:lang w:eastAsia="hu-HU"/>
        </w:rPr>
        <w:t>ében eljárva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Az Apátistvánfalva Község 2015. évi költségvetéséről szóló </w:t>
      </w:r>
      <w:r w:rsidR="00221D9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/2015. (II.2</w:t>
      </w:r>
      <w:r w:rsidR="00221D9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.) Ö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kormányzati Rendelet (továbbiakban Rendelet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 3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§ (1)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költségveté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DC0B3C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45.354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azaz negyven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ötmillió-háromszázötvennégyezer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főösszegét 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45.</w:t>
      </w:r>
      <w:proofErr w:type="gramEnd"/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354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, azaz negyven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ötmillió-háromszázötvennégy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ezer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rintban állapítja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</w:t>
      </w:r>
      <w:r w:rsidR="004F7DF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tartalmazza.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4. § (1)-(9) bekezdése helyébe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§ (1) A Képviselő-testület a rendelet 3. § (1) bekezdésben meghatározott bevételi főösszeg forrásait és azok összegét - a rendelet 2. és 5. mellékletében részletezettek alapján - az alább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155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890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.970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18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56799">
        <w:rPr>
          <w:rFonts w:ascii="Times New Roman" w:eastAsia="Times New Roman" w:hAnsi="Times New Roman"/>
          <w:sz w:val="24"/>
          <w:szCs w:val="24"/>
          <w:lang w:eastAsia="hu-HU"/>
        </w:rPr>
        <w:t>132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163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 összesen</w:t>
      </w:r>
      <w:proofErr w:type="gramStart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3</w:t>
      </w:r>
      <w:r w:rsidR="00F4738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proofErr w:type="gramEnd"/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012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: 4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354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497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A02F19" w:rsidRPr="00DC24D0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6D3CED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6D3CED" w:rsidRPr="00DC24D0">
        <w:rPr>
          <w:rFonts w:ascii="Times New Roman" w:eastAsia="Times New Roman" w:hAnsi="Times New Roman"/>
          <w:sz w:val="24"/>
          <w:szCs w:val="24"/>
          <w:lang w:eastAsia="hu-HU"/>
        </w:rPr>
        <w:t>12.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9A0E7F" w:rsidP="00A02F19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</w:t>
      </w:r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DC24D0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(9) Finanszírozási bevételek 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12</w:t>
      </w:r>
      <w:proofErr w:type="gramEnd"/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.342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3. § A rendelet 5. §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997F94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085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kiadások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397</w:t>
      </w:r>
      <w:proofErr w:type="gramEnd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finanszírozási </w:t>
      </w:r>
      <w:proofErr w:type="gram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725</w:t>
      </w:r>
      <w:proofErr w:type="gramEnd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d) pénzforgalom nélküli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proofErr w:type="gramEnd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147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hiteltörlesztésre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E30FF4" w:rsidRDefault="00E30FF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</w:p>
    <w:p w:rsidR="00C3376E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6.§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(1)-(</w:t>
      </w:r>
      <w:r w:rsidR="00E30FF4">
        <w:rPr>
          <w:rFonts w:ascii="Times New Roman" w:eastAsia="Times New Roman" w:hAnsi="Times New Roman"/>
          <w:b/>
          <w:sz w:val="24"/>
          <w:szCs w:val="24"/>
          <w:lang w:eastAsia="hu-HU"/>
        </w:rPr>
        <w:t>4)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bekezdése 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C3376E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6.§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(1) Az 5. § a) pontban szereplő kiadási előirányzaton belül a kiemelt előirányzatok a k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vetkezők: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8.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279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.2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71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C3376E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775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9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549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c.támog</w:t>
      </w:r>
      <w:proofErr w:type="gram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.államh</w:t>
      </w:r>
      <w:proofErr w:type="gramEnd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567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célú </w:t>
      </w:r>
      <w:proofErr w:type="spell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támog.államh.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B614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1.096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) tár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s. </w:t>
      </w:r>
      <w:proofErr w:type="gramStart"/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>szocpol</w:t>
      </w:r>
      <w:proofErr w:type="gramEnd"/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>. és egyéb juttatás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   886 </w:t>
      </w:r>
      <w:proofErr w:type="spellStart"/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>211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13336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="002E39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9A2D0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35.478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06C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147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(4) Az önkormányzat összesített kiadásaiból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4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354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A06C9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</w:t>
      </w:r>
      <w:r w:rsidR="00EB6147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EB6147" w:rsidRPr="00133362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E125E7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A rendelet 7. §</w:t>
      </w:r>
      <w:proofErr w:type="spell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Pr="00E30FF4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DD3D9C" w:rsidRPr="00E30FF4">
        <w:rPr>
          <w:rFonts w:ascii="Times New Roman" w:eastAsia="Times New Roman" w:hAnsi="Times New Roman"/>
          <w:sz w:val="24"/>
          <w:szCs w:val="24"/>
          <w:lang w:eastAsia="hu-HU"/>
        </w:rPr>
        <w:t>18.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132 </w:t>
      </w:r>
      <w:proofErr w:type="spellStart"/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támogatásban részesül.</w:t>
      </w: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Pr="004B3C25" w:rsidRDefault="00835E6A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</w:t>
      </w:r>
      <w:r w:rsidR="004B3C25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Csaba                                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</w:p>
    <w:p w:rsidR="00A02F19" w:rsidRDefault="00A02F19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D259A1" w:rsidRDefault="00D259A1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259A1" w:rsidRDefault="00D259A1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Kihirdetés napja: 2015. november 23.</w:t>
      </w:r>
    </w:p>
    <w:p w:rsidR="00D259A1" w:rsidRDefault="00D259A1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259A1" w:rsidRDefault="00D259A1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</w:p>
    <w:p w:rsidR="00D259A1" w:rsidRDefault="00D259A1" w:rsidP="00AB7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jegyző</w:t>
      </w:r>
    </w:p>
    <w:sectPr w:rsidR="00D259A1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E0F"/>
    <w:rsid w:val="000039F5"/>
    <w:rsid w:val="00003AA3"/>
    <w:rsid w:val="00003B31"/>
    <w:rsid w:val="00007ED4"/>
    <w:rsid w:val="00010217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36F52"/>
    <w:rsid w:val="00041132"/>
    <w:rsid w:val="00041727"/>
    <w:rsid w:val="00041CCD"/>
    <w:rsid w:val="00044197"/>
    <w:rsid w:val="000443CB"/>
    <w:rsid w:val="000448C6"/>
    <w:rsid w:val="00044F7C"/>
    <w:rsid w:val="00045365"/>
    <w:rsid w:val="00047392"/>
    <w:rsid w:val="00050F05"/>
    <w:rsid w:val="0005203E"/>
    <w:rsid w:val="00053B7A"/>
    <w:rsid w:val="00056799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653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2024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0618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3660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177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50F0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1D92"/>
    <w:rsid w:val="00222F71"/>
    <w:rsid w:val="00223E28"/>
    <w:rsid w:val="00224AD6"/>
    <w:rsid w:val="00226936"/>
    <w:rsid w:val="00230166"/>
    <w:rsid w:val="00230633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6CE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43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4DC7"/>
    <w:rsid w:val="002C52CA"/>
    <w:rsid w:val="002C7259"/>
    <w:rsid w:val="002D0868"/>
    <w:rsid w:val="002D136F"/>
    <w:rsid w:val="002D33BF"/>
    <w:rsid w:val="002E14A4"/>
    <w:rsid w:val="002E39FD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8CD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1C2D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08B"/>
    <w:rsid w:val="003E57EE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5570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6501"/>
    <w:rsid w:val="0048783E"/>
    <w:rsid w:val="00491FAA"/>
    <w:rsid w:val="0049307E"/>
    <w:rsid w:val="004933D7"/>
    <w:rsid w:val="0049354D"/>
    <w:rsid w:val="00496C02"/>
    <w:rsid w:val="004A06C9"/>
    <w:rsid w:val="004A110D"/>
    <w:rsid w:val="004A1AFF"/>
    <w:rsid w:val="004A3136"/>
    <w:rsid w:val="004A65B2"/>
    <w:rsid w:val="004A759C"/>
    <w:rsid w:val="004B075C"/>
    <w:rsid w:val="004B3C25"/>
    <w:rsid w:val="004B4494"/>
    <w:rsid w:val="004B6B8A"/>
    <w:rsid w:val="004B7963"/>
    <w:rsid w:val="004C0F03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3A31"/>
    <w:rsid w:val="004E5DF7"/>
    <w:rsid w:val="004E60B2"/>
    <w:rsid w:val="004E7ADF"/>
    <w:rsid w:val="004F24B0"/>
    <w:rsid w:val="004F5695"/>
    <w:rsid w:val="004F6740"/>
    <w:rsid w:val="004F6F09"/>
    <w:rsid w:val="004F7DF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34C53"/>
    <w:rsid w:val="00540741"/>
    <w:rsid w:val="00540ADD"/>
    <w:rsid w:val="00541029"/>
    <w:rsid w:val="00543251"/>
    <w:rsid w:val="00543995"/>
    <w:rsid w:val="005441CE"/>
    <w:rsid w:val="00544F54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0AC9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B765A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161"/>
    <w:rsid w:val="00644C1C"/>
    <w:rsid w:val="00645AFB"/>
    <w:rsid w:val="006468C9"/>
    <w:rsid w:val="00650B25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1F6D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10A"/>
    <w:rsid w:val="00696585"/>
    <w:rsid w:val="0069700B"/>
    <w:rsid w:val="006A30DE"/>
    <w:rsid w:val="006A3708"/>
    <w:rsid w:val="006A3A26"/>
    <w:rsid w:val="006A3D39"/>
    <w:rsid w:val="006A57BE"/>
    <w:rsid w:val="006A5E69"/>
    <w:rsid w:val="006A71C5"/>
    <w:rsid w:val="006B05AC"/>
    <w:rsid w:val="006B11C3"/>
    <w:rsid w:val="006B4043"/>
    <w:rsid w:val="006B4AA1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5AB7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5E6A"/>
    <w:rsid w:val="00836968"/>
    <w:rsid w:val="008378D3"/>
    <w:rsid w:val="00842812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76325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5C1"/>
    <w:rsid w:val="008B0824"/>
    <w:rsid w:val="008B1DE0"/>
    <w:rsid w:val="008C037D"/>
    <w:rsid w:val="008C07E2"/>
    <w:rsid w:val="008C0B26"/>
    <w:rsid w:val="008C217F"/>
    <w:rsid w:val="008C66D5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349E"/>
    <w:rsid w:val="00905F0D"/>
    <w:rsid w:val="00906C44"/>
    <w:rsid w:val="00913EA1"/>
    <w:rsid w:val="00916121"/>
    <w:rsid w:val="00916155"/>
    <w:rsid w:val="009179F5"/>
    <w:rsid w:val="00920C99"/>
    <w:rsid w:val="0092219F"/>
    <w:rsid w:val="00923D92"/>
    <w:rsid w:val="00926612"/>
    <w:rsid w:val="00927F32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590C"/>
    <w:rsid w:val="00986DC6"/>
    <w:rsid w:val="0098742C"/>
    <w:rsid w:val="00990F67"/>
    <w:rsid w:val="00991BA9"/>
    <w:rsid w:val="00992747"/>
    <w:rsid w:val="00995EFE"/>
    <w:rsid w:val="00997F94"/>
    <w:rsid w:val="009A0E7F"/>
    <w:rsid w:val="009A1F68"/>
    <w:rsid w:val="009A2D0F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3B84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CAC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5EF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5F91"/>
    <w:rsid w:val="00A87158"/>
    <w:rsid w:val="00A87DC5"/>
    <w:rsid w:val="00A91382"/>
    <w:rsid w:val="00A93CD3"/>
    <w:rsid w:val="00A96613"/>
    <w:rsid w:val="00A969B8"/>
    <w:rsid w:val="00A96B3D"/>
    <w:rsid w:val="00AA4B95"/>
    <w:rsid w:val="00AA55EF"/>
    <w:rsid w:val="00AA733B"/>
    <w:rsid w:val="00AB0369"/>
    <w:rsid w:val="00AB191E"/>
    <w:rsid w:val="00AB1CBF"/>
    <w:rsid w:val="00AB5E73"/>
    <w:rsid w:val="00AB6391"/>
    <w:rsid w:val="00AB72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2B48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2076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07DD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2F41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59A1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B6DFC"/>
    <w:rsid w:val="00DC0B3C"/>
    <w:rsid w:val="00DC13E5"/>
    <w:rsid w:val="00DC24D0"/>
    <w:rsid w:val="00DC28C8"/>
    <w:rsid w:val="00DC3569"/>
    <w:rsid w:val="00DC361B"/>
    <w:rsid w:val="00DC3F23"/>
    <w:rsid w:val="00DC4361"/>
    <w:rsid w:val="00DC56C3"/>
    <w:rsid w:val="00DC6CAD"/>
    <w:rsid w:val="00DC6D2A"/>
    <w:rsid w:val="00DD097C"/>
    <w:rsid w:val="00DD0D38"/>
    <w:rsid w:val="00DD26F5"/>
    <w:rsid w:val="00DD3D9C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25E7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26C89"/>
    <w:rsid w:val="00E30570"/>
    <w:rsid w:val="00E30FF4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B3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769D4"/>
    <w:rsid w:val="00E82A92"/>
    <w:rsid w:val="00E84555"/>
    <w:rsid w:val="00E848A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C7A7D"/>
    <w:rsid w:val="00ED1B1F"/>
    <w:rsid w:val="00ED4384"/>
    <w:rsid w:val="00ED52CF"/>
    <w:rsid w:val="00ED574C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598D"/>
    <w:rsid w:val="00F36AF8"/>
    <w:rsid w:val="00F4052B"/>
    <w:rsid w:val="00F43320"/>
    <w:rsid w:val="00F43D6B"/>
    <w:rsid w:val="00F44C81"/>
    <w:rsid w:val="00F46727"/>
    <w:rsid w:val="00F47385"/>
    <w:rsid w:val="00F478A6"/>
    <w:rsid w:val="00F50126"/>
    <w:rsid w:val="00F51E0B"/>
    <w:rsid w:val="00F52DEB"/>
    <w:rsid w:val="00F53031"/>
    <w:rsid w:val="00F540B7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59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8D07-DA05-45E2-A6E9-299F91F8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833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37</cp:revision>
  <cp:lastPrinted>2015-11-23T07:07:00Z</cp:lastPrinted>
  <dcterms:created xsi:type="dcterms:W3CDTF">2015-02-11T06:58:00Z</dcterms:created>
  <dcterms:modified xsi:type="dcterms:W3CDTF">2015-11-23T07:10:00Z</dcterms:modified>
</cp:coreProperties>
</file>