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E35F" w14:textId="77777777" w:rsidR="0006071B" w:rsidRDefault="0006071B" w:rsidP="0006071B">
      <w:pPr>
        <w:tabs>
          <w:tab w:val="center" w:pos="6096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INDOKOLÁS</w:t>
      </w:r>
    </w:p>
    <w:p w14:paraId="496B9D89" w14:textId="77777777" w:rsidR="0006071B" w:rsidRDefault="0006071B" w:rsidP="0006071B">
      <w:pPr>
        <w:tabs>
          <w:tab w:val="center" w:pos="6096"/>
        </w:tabs>
        <w:jc w:val="center"/>
        <w:rPr>
          <w:b/>
          <w:bCs/>
          <w:i/>
          <w:iCs/>
        </w:rPr>
      </w:pPr>
    </w:p>
    <w:p w14:paraId="40876B6F" w14:textId="77777777" w:rsidR="0006071B" w:rsidRDefault="0006071B" w:rsidP="0006071B">
      <w:pPr>
        <w:tabs>
          <w:tab w:val="center" w:pos="6096"/>
        </w:tabs>
        <w:jc w:val="center"/>
        <w:rPr>
          <w:b/>
          <w:bCs/>
          <w:i/>
          <w:iCs/>
        </w:rPr>
      </w:pPr>
    </w:p>
    <w:p w14:paraId="263152EC" w14:textId="77777777" w:rsidR="0006071B" w:rsidRDefault="0006071B" w:rsidP="0006071B">
      <w:pPr>
        <w:tabs>
          <w:tab w:val="center" w:pos="6096"/>
        </w:tabs>
        <w:jc w:val="center"/>
        <w:rPr>
          <w:b/>
          <w:bCs/>
          <w:color w:val="FF0000"/>
        </w:rPr>
      </w:pPr>
    </w:p>
    <w:p w14:paraId="4D46FA28" w14:textId="77777777" w:rsidR="0006071B" w:rsidRPr="006F687C" w:rsidRDefault="0006071B" w:rsidP="0006071B">
      <w:pPr>
        <w:tabs>
          <w:tab w:val="center" w:pos="6096"/>
        </w:tabs>
        <w:jc w:val="center"/>
        <w:rPr>
          <w:b/>
          <w:bCs/>
        </w:rPr>
      </w:pPr>
      <w:r w:rsidRPr="006F687C">
        <w:rPr>
          <w:b/>
          <w:bCs/>
        </w:rPr>
        <w:t>1. §</w:t>
      </w:r>
    </w:p>
    <w:p w14:paraId="36F7A2E1" w14:textId="77777777" w:rsidR="0006071B" w:rsidRDefault="0006071B" w:rsidP="0006071B">
      <w:pPr>
        <w:tabs>
          <w:tab w:val="center" w:pos="6096"/>
        </w:tabs>
        <w:jc w:val="center"/>
        <w:rPr>
          <w:b/>
          <w:bCs/>
        </w:rPr>
      </w:pPr>
    </w:p>
    <w:p w14:paraId="55305D1D" w14:textId="77777777" w:rsidR="0006071B" w:rsidRPr="006F687C" w:rsidRDefault="0006071B" w:rsidP="0006071B">
      <w:pPr>
        <w:tabs>
          <w:tab w:val="center" w:pos="6096"/>
        </w:tabs>
        <w:jc w:val="both"/>
      </w:pPr>
      <w:r>
        <w:t>A környezetvédelemről szóló rendelet bevezető részében a felhatalmazó és hatáskört megállapító jogszabályok körének és rendelkezéseinek a változásai átvezetésre kerülnek.</w:t>
      </w:r>
    </w:p>
    <w:p w14:paraId="3B711766" w14:textId="77777777" w:rsidR="0006071B" w:rsidRPr="006F687C" w:rsidRDefault="0006071B" w:rsidP="0006071B">
      <w:pPr>
        <w:tabs>
          <w:tab w:val="center" w:pos="6096"/>
        </w:tabs>
        <w:jc w:val="center"/>
        <w:rPr>
          <w:b/>
          <w:bCs/>
        </w:rPr>
      </w:pPr>
    </w:p>
    <w:p w14:paraId="7C9B732D" w14:textId="77777777" w:rsidR="0006071B" w:rsidRDefault="0006071B" w:rsidP="0006071B">
      <w:pPr>
        <w:tabs>
          <w:tab w:val="center" w:pos="6096"/>
        </w:tabs>
        <w:jc w:val="center"/>
        <w:rPr>
          <w:b/>
          <w:bCs/>
        </w:rPr>
      </w:pPr>
      <w:r w:rsidRPr="006F687C">
        <w:rPr>
          <w:b/>
          <w:bCs/>
        </w:rPr>
        <w:t>2. §</w:t>
      </w:r>
    </w:p>
    <w:p w14:paraId="729E7E5B" w14:textId="77777777" w:rsidR="0006071B" w:rsidRPr="006F687C" w:rsidRDefault="0006071B" w:rsidP="0006071B">
      <w:pPr>
        <w:tabs>
          <w:tab w:val="center" w:pos="6096"/>
        </w:tabs>
        <w:jc w:val="center"/>
        <w:rPr>
          <w:b/>
          <w:bCs/>
        </w:rPr>
      </w:pPr>
    </w:p>
    <w:p w14:paraId="45625062" w14:textId="77777777" w:rsidR="0006071B" w:rsidRPr="006F687C" w:rsidRDefault="0006071B" w:rsidP="0006071B">
      <w:pPr>
        <w:tabs>
          <w:tab w:val="center" w:pos="6096"/>
        </w:tabs>
        <w:jc w:val="both"/>
      </w:pPr>
      <w:r w:rsidRPr="00EE7B1A">
        <w:t xml:space="preserve">A </w:t>
      </w:r>
      <w:r>
        <w:t xml:space="preserve">közösségi együttélésről szóló rendelet bevezető részében a felhatalmazó és hatáskört megállapító jogszabályok körének és rendelkezéseinek a változásai átvezetésre kerülnek, tekintettel a </w:t>
      </w:r>
      <w:r w:rsidRPr="00301A49">
        <w:t>közigazgatási szabályszegések szankcióiról szóló 2017. évi CXXV. törvény</w:t>
      </w:r>
      <w:r>
        <w:t xml:space="preserve"> hatálybalépésére.</w:t>
      </w:r>
    </w:p>
    <w:p w14:paraId="67B2AC05" w14:textId="77777777" w:rsidR="0006071B" w:rsidRDefault="0006071B" w:rsidP="0006071B">
      <w:pPr>
        <w:tabs>
          <w:tab w:val="center" w:pos="6096"/>
        </w:tabs>
        <w:jc w:val="both"/>
        <w:rPr>
          <w:b/>
          <w:bCs/>
        </w:rPr>
      </w:pPr>
    </w:p>
    <w:p w14:paraId="4C7E35A6" w14:textId="77777777" w:rsidR="0006071B" w:rsidRPr="006F687C" w:rsidRDefault="0006071B" w:rsidP="0006071B">
      <w:pPr>
        <w:tabs>
          <w:tab w:val="center" w:pos="6096"/>
        </w:tabs>
        <w:jc w:val="center"/>
        <w:rPr>
          <w:b/>
          <w:bCs/>
        </w:rPr>
      </w:pPr>
      <w:r>
        <w:rPr>
          <w:b/>
          <w:bCs/>
        </w:rPr>
        <w:t>3</w:t>
      </w:r>
      <w:r w:rsidRPr="006F687C">
        <w:rPr>
          <w:b/>
          <w:bCs/>
        </w:rPr>
        <w:t>. §</w:t>
      </w:r>
    </w:p>
    <w:p w14:paraId="20DD087C" w14:textId="77777777" w:rsidR="0006071B" w:rsidRPr="006F687C" w:rsidRDefault="0006071B" w:rsidP="0006071B">
      <w:pPr>
        <w:tabs>
          <w:tab w:val="center" w:pos="6096"/>
        </w:tabs>
        <w:jc w:val="both"/>
        <w:rPr>
          <w:b/>
          <w:bCs/>
        </w:rPr>
      </w:pPr>
    </w:p>
    <w:p w14:paraId="5A9B3518" w14:textId="77777777" w:rsidR="0006071B" w:rsidRDefault="0006071B" w:rsidP="0006071B">
      <w:pPr>
        <w:spacing w:line="300" w:lineRule="exact"/>
        <w:jc w:val="both"/>
      </w:pPr>
      <w:r w:rsidRPr="00A44BCC">
        <w:t xml:space="preserve">2021. január elsejével hatályát vesztette a környezet védelmének általános szabályairól szóló 1995. évi LIII. törvény 48. § (4) bekezdés b) pontja, </w:t>
      </w:r>
      <w:r w:rsidRPr="00A44BCC">
        <w:rPr>
          <w:rFonts w:ascii="Times" w:hAnsi="Times" w:cs="Times"/>
          <w:color w:val="000000"/>
        </w:rPr>
        <w:t>az</w:t>
      </w:r>
      <w:r w:rsidRPr="00A44BCC">
        <w:t xml:space="preserve"> élet- és vagyonbiztonságot veszélyeztető tömeges megbetegedést okozó SARS-CoV-2 koronavírus világjárvány következményeinek elhárítása, a magyar állampolgárok egészségének és életének megóvása érdekében Magyarország egész területére kihirdetett veszélyhelyzet</w:t>
      </w:r>
      <w:r w:rsidRPr="00A44BCC">
        <w:rPr>
          <w:rFonts w:ascii="Times" w:hAnsi="Times" w:cs="Times"/>
          <w:color w:val="000000"/>
        </w:rPr>
        <w:t xml:space="preserve"> megszűnésével pedig hatályát veszti a </w:t>
      </w:r>
      <w:r w:rsidRPr="00A44BCC">
        <w:t xml:space="preserve">veszélyhelyzet ideje alatt alkalmazandó, levegőminőséggel összefüggő szabályokról szóló 549/2020. (XII. 2.) Korm. rendeletben a közgyűlés számára biztosított, a </w:t>
      </w:r>
      <w:r w:rsidRPr="00A44BCC">
        <w:rPr>
          <w:color w:val="000000"/>
        </w:rPr>
        <w:t>háztartási tevékenységgel okozott légszennyezésre vonatkozó egyes sajátos, valamint az avar és kerti hulladék égetésére vonatkozó szabályok önkormányzati rendelettel történő megállapítására vonatkozó felhatalmazás.</w:t>
      </w:r>
      <w:r w:rsidRPr="00EE7B1A">
        <w:rPr>
          <w:color w:val="000000"/>
        </w:rPr>
        <w:t xml:space="preserve"> </w:t>
      </w:r>
    </w:p>
    <w:p w14:paraId="0F50AE77" w14:textId="77777777" w:rsidR="0006071B" w:rsidRPr="00EE7B1A" w:rsidRDefault="0006071B" w:rsidP="0006071B">
      <w:pPr>
        <w:spacing w:line="300" w:lineRule="exact"/>
        <w:jc w:val="both"/>
        <w:rPr>
          <w:color w:val="000000"/>
        </w:rPr>
      </w:pPr>
      <w:r w:rsidRPr="00EE7B1A">
        <w:t>Ehhez kapcsolódóan hatályon kívül helyezésre kerülnek a közösségi együttélés alapvető szabályairól szóló rendeletnek az avar, kerti és más hulladék tiltott égetését, egyes tüzelőanyagok tiltott felhasználását szankcionáló tényállásai is. E tényállások szabályozására az önkor</w:t>
      </w:r>
      <w:r>
        <w:t>mányzatnak nem marad lehetősége.</w:t>
      </w:r>
      <w:r w:rsidRPr="00EE7B1A">
        <w:t xml:space="preserve"> </w:t>
      </w:r>
    </w:p>
    <w:p w14:paraId="2541CF6B" w14:textId="77777777" w:rsidR="0006071B" w:rsidRPr="004D2765" w:rsidRDefault="0006071B" w:rsidP="0006071B">
      <w:pPr>
        <w:tabs>
          <w:tab w:val="center" w:pos="6096"/>
        </w:tabs>
        <w:jc w:val="both"/>
        <w:rPr>
          <w:color w:val="FF0000"/>
        </w:rPr>
      </w:pPr>
    </w:p>
    <w:p w14:paraId="68BEFA95" w14:textId="77777777" w:rsidR="0006071B" w:rsidRPr="006F687C" w:rsidRDefault="0006071B" w:rsidP="0006071B">
      <w:pPr>
        <w:tabs>
          <w:tab w:val="center" w:pos="6096"/>
        </w:tabs>
        <w:jc w:val="center"/>
        <w:rPr>
          <w:b/>
          <w:bCs/>
        </w:rPr>
      </w:pPr>
      <w:r>
        <w:rPr>
          <w:b/>
          <w:bCs/>
        </w:rPr>
        <w:t>4</w:t>
      </w:r>
      <w:r w:rsidRPr="006F687C">
        <w:rPr>
          <w:b/>
          <w:bCs/>
        </w:rPr>
        <w:t xml:space="preserve">. § </w:t>
      </w:r>
    </w:p>
    <w:p w14:paraId="01A0279C" w14:textId="77777777" w:rsidR="0006071B" w:rsidRPr="006F687C" w:rsidRDefault="0006071B" w:rsidP="0006071B">
      <w:pPr>
        <w:tabs>
          <w:tab w:val="center" w:pos="6096"/>
        </w:tabs>
        <w:jc w:val="both"/>
        <w:rPr>
          <w:b/>
          <w:bCs/>
        </w:rPr>
      </w:pPr>
    </w:p>
    <w:p w14:paraId="781C3A59" w14:textId="77777777" w:rsidR="0006071B" w:rsidRDefault="0006071B" w:rsidP="0006071B">
      <w:pPr>
        <w:jc w:val="both"/>
      </w:pPr>
      <w:r w:rsidRPr="006F687C">
        <w:t>Hatályba léptető és deregulációs rendelkezést tartalmaz.</w:t>
      </w:r>
    </w:p>
    <w:p w14:paraId="6DF76EC1" w14:textId="77777777" w:rsidR="0006071B" w:rsidRPr="006F687C" w:rsidRDefault="0006071B" w:rsidP="0006071B">
      <w:pPr>
        <w:jc w:val="both"/>
      </w:pPr>
    </w:p>
    <w:p w14:paraId="4860C23F" w14:textId="77777777" w:rsidR="0006071B" w:rsidRDefault="0006071B" w:rsidP="0006071B">
      <w:pPr>
        <w:spacing w:line="300" w:lineRule="exact"/>
        <w:jc w:val="both"/>
        <w:rPr>
          <w:color w:val="FF0000"/>
        </w:rPr>
      </w:pPr>
      <w:r w:rsidRPr="00EE7B1A">
        <w:rPr>
          <w:b/>
          <w:bCs/>
        </w:rPr>
        <w:t xml:space="preserve">A </w:t>
      </w:r>
      <w:r>
        <w:rPr>
          <w:b/>
          <w:bCs/>
        </w:rPr>
        <w:t>jogalkotásról szóló 2010. évi CXXX. törvény 18. § (3) bekezdése és a</w:t>
      </w:r>
      <w:r w:rsidRPr="00EE7B1A">
        <w:rPr>
          <w:b/>
          <w:bCs/>
        </w:rPr>
        <w:t xml:space="preserve"> Magyar Közlöny kiadásáról, valamint a jogszabály kihirdetése során történő és a közjogi szervezetszabályozó eszköz közzététele során történő megjelöléséről szóló 5/2019. (III. 13.) IM rendelet 20. § (3)-(4) bekezdése valamint a 21. § (2) bekezdése alapján, mivel az elfogadandó jogszabály várható társadalmi hatása jelentős, és nem kizárólag technikai vagy végrehajtási jellegű intézkedéseket tartalmaz, jelen indokolást a rendelet kihirdetését követően a Nemzeti Jogszabálytárban közzé kell tenni. </w:t>
      </w:r>
    </w:p>
    <w:p w14:paraId="6E6F996E" w14:textId="77777777" w:rsidR="00CF2068" w:rsidRDefault="00CF2068"/>
    <w:sectPr w:rsidR="00CF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1B"/>
    <w:rsid w:val="0006071B"/>
    <w:rsid w:val="00C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120B"/>
  <w15:chartTrackingRefBased/>
  <w15:docId w15:val="{2F5D8B08-FE02-4649-8375-215B5925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0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2021-03-26T07:09:00Z</dcterms:created>
  <dcterms:modified xsi:type="dcterms:W3CDTF">2021-03-26T07:10:00Z</dcterms:modified>
</cp:coreProperties>
</file>