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D9448" w14:textId="7464A9FD" w:rsidR="002675E5" w:rsidRDefault="001A535F" w:rsidP="002675E5">
      <w:pPr>
        <w:pStyle w:val="Szvegtrzs31"/>
        <w:jc w:val="right"/>
        <w:rPr>
          <w:sz w:val="24"/>
          <w:szCs w:val="24"/>
        </w:rPr>
      </w:pPr>
      <w:r>
        <w:rPr>
          <w:i/>
          <w:sz w:val="24"/>
          <w:szCs w:val="24"/>
          <w:u w:val="single"/>
        </w:rPr>
        <w:t>4</w:t>
      </w:r>
      <w:r w:rsidR="002675E5">
        <w:rPr>
          <w:i/>
          <w:sz w:val="24"/>
          <w:szCs w:val="24"/>
          <w:u w:val="single"/>
        </w:rPr>
        <w:t>.</w:t>
      </w:r>
      <w:r>
        <w:rPr>
          <w:i/>
          <w:sz w:val="24"/>
          <w:szCs w:val="24"/>
          <w:u w:val="single"/>
        </w:rPr>
        <w:t>f</w:t>
      </w:r>
      <w:r w:rsidR="002675E5">
        <w:rPr>
          <w:i/>
          <w:sz w:val="24"/>
          <w:szCs w:val="24"/>
          <w:u w:val="single"/>
        </w:rPr>
        <w:t>üggelék</w:t>
      </w:r>
    </w:p>
    <w:p w14:paraId="49AE3079" w14:textId="77777777" w:rsidR="002675E5" w:rsidRPr="00750C88" w:rsidRDefault="002675E5" w:rsidP="002675E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KULCS</w:t>
      </w:r>
      <w:r w:rsidRPr="00750C88">
        <w:rPr>
          <w:b/>
          <w:sz w:val="24"/>
          <w:szCs w:val="24"/>
        </w:rPr>
        <w:t xml:space="preserve"> KÖZSÉGI ÖNKORMÁNYZAT </w:t>
      </w:r>
    </w:p>
    <w:p w14:paraId="3A867324" w14:textId="77777777" w:rsidR="002675E5" w:rsidRPr="00750C88" w:rsidRDefault="002675E5" w:rsidP="002675E5">
      <w:pPr>
        <w:jc w:val="center"/>
        <w:outlineLvl w:val="0"/>
        <w:rPr>
          <w:b/>
          <w:sz w:val="24"/>
          <w:szCs w:val="24"/>
        </w:rPr>
      </w:pPr>
      <w:r w:rsidRPr="00750C88">
        <w:rPr>
          <w:b/>
          <w:sz w:val="24"/>
          <w:szCs w:val="24"/>
        </w:rPr>
        <w:t>KÉPVISELŐ-TESTÜLETÉNEK</w:t>
      </w:r>
    </w:p>
    <w:p w14:paraId="52FC0192" w14:textId="77777777" w:rsidR="002675E5" w:rsidRDefault="002675E5" w:rsidP="002675E5">
      <w:pPr>
        <w:jc w:val="center"/>
        <w:outlineLvl w:val="0"/>
        <w:rPr>
          <w:b/>
          <w:sz w:val="24"/>
          <w:szCs w:val="24"/>
        </w:rPr>
      </w:pPr>
      <w:r w:rsidRPr="00750C88">
        <w:rPr>
          <w:b/>
          <w:sz w:val="24"/>
          <w:szCs w:val="24"/>
        </w:rPr>
        <w:t>GAZDASÁGI PROGRAMJA</w:t>
      </w:r>
    </w:p>
    <w:p w14:paraId="28D5218C" w14:textId="77777777" w:rsidR="002675E5" w:rsidRPr="00750C88" w:rsidRDefault="002675E5" w:rsidP="002675E5">
      <w:pPr>
        <w:jc w:val="center"/>
        <w:outlineLvl w:val="0"/>
        <w:rPr>
          <w:b/>
          <w:sz w:val="24"/>
          <w:szCs w:val="24"/>
        </w:rPr>
      </w:pPr>
    </w:p>
    <w:p w14:paraId="1374B3BB" w14:textId="77777777" w:rsidR="002675E5" w:rsidRPr="009E294F" w:rsidRDefault="00D05DED" w:rsidP="002675E5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2019-2024</w:t>
      </w:r>
    </w:p>
    <w:p w14:paraId="7F1FC56D" w14:textId="77777777" w:rsidR="002675E5" w:rsidRPr="009E294F" w:rsidRDefault="002675E5" w:rsidP="002675E5">
      <w:pPr>
        <w:jc w:val="both"/>
        <w:rPr>
          <w:sz w:val="28"/>
          <w:szCs w:val="28"/>
        </w:rPr>
      </w:pPr>
    </w:p>
    <w:p w14:paraId="00E5E528" w14:textId="657B4952" w:rsidR="002675E5" w:rsidRPr="005047C4" w:rsidRDefault="00D05DED" w:rsidP="002675E5">
      <w:pPr>
        <w:jc w:val="both"/>
        <w:rPr>
          <w:sz w:val="24"/>
          <w:szCs w:val="24"/>
        </w:rPr>
      </w:pPr>
      <w:r>
        <w:rPr>
          <w:sz w:val="24"/>
          <w:szCs w:val="24"/>
        </w:rPr>
        <w:t>A 2019</w:t>
      </w:r>
      <w:r w:rsidR="002675E5" w:rsidRPr="005047C4">
        <w:rPr>
          <w:sz w:val="24"/>
          <w:szCs w:val="24"/>
        </w:rPr>
        <w:t xml:space="preserve">. október </w:t>
      </w:r>
      <w:r>
        <w:rPr>
          <w:sz w:val="24"/>
          <w:szCs w:val="24"/>
        </w:rPr>
        <w:t>1</w:t>
      </w:r>
      <w:r w:rsidR="002675E5" w:rsidRPr="005047C4">
        <w:rPr>
          <w:sz w:val="24"/>
          <w:szCs w:val="24"/>
        </w:rPr>
        <w:t xml:space="preserve">3-án megválasztott </w:t>
      </w:r>
      <w:r w:rsidR="00123B2F">
        <w:rPr>
          <w:sz w:val="24"/>
          <w:szCs w:val="24"/>
        </w:rPr>
        <w:t>K</w:t>
      </w:r>
      <w:r w:rsidR="002675E5" w:rsidRPr="005047C4">
        <w:rPr>
          <w:sz w:val="24"/>
          <w:szCs w:val="24"/>
        </w:rPr>
        <w:t>épviselő</w:t>
      </w:r>
      <w:r w:rsidR="00123B2F">
        <w:rPr>
          <w:sz w:val="24"/>
          <w:szCs w:val="24"/>
        </w:rPr>
        <w:t>-</w:t>
      </w:r>
      <w:r w:rsidR="002675E5" w:rsidRPr="005047C4">
        <w:rPr>
          <w:sz w:val="24"/>
          <w:szCs w:val="24"/>
        </w:rPr>
        <w:t>testület ala</w:t>
      </w:r>
      <w:r>
        <w:rPr>
          <w:sz w:val="24"/>
          <w:szCs w:val="24"/>
        </w:rPr>
        <w:t>pvető gazdasági programja a 2019-202</w:t>
      </w:r>
      <w:r w:rsidR="002675E5" w:rsidRPr="005047C4">
        <w:rPr>
          <w:sz w:val="24"/>
          <w:szCs w:val="24"/>
        </w:rPr>
        <w:t>4 közötti ciklus időszakra:</w:t>
      </w:r>
    </w:p>
    <w:p w14:paraId="0E94DB11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7FA4E31B" w14:textId="77777777" w:rsidR="002675E5" w:rsidRPr="005047C4" w:rsidRDefault="002675E5" w:rsidP="002675E5">
      <w:pPr>
        <w:jc w:val="both"/>
        <w:rPr>
          <w:sz w:val="24"/>
          <w:szCs w:val="24"/>
          <w:u w:val="single"/>
        </w:rPr>
      </w:pPr>
      <w:r w:rsidRPr="005047C4">
        <w:rPr>
          <w:sz w:val="24"/>
          <w:szCs w:val="24"/>
          <w:u w:val="single"/>
        </w:rPr>
        <w:t>Beruházások, felújítások</w:t>
      </w:r>
    </w:p>
    <w:p w14:paraId="73A97688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47354168" w14:textId="77777777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Az elmúlt évekhez képest kevesebb pénzeszközünk van a beruházásokra az előző évek </w:t>
      </w:r>
      <w:r w:rsidR="00D05DED">
        <w:rPr>
          <w:sz w:val="24"/>
          <w:szCs w:val="24"/>
        </w:rPr>
        <w:t>önerővel kiegészítendő pályázatai, illetve a</w:t>
      </w:r>
      <w:r w:rsidR="00D05DED" w:rsidRPr="00D05DED">
        <w:rPr>
          <w:sz w:val="24"/>
          <w:szCs w:val="24"/>
        </w:rPr>
        <w:t xml:space="preserve"> Kormány 92/2020. (IV. 6.) Korm. rendelete</w:t>
      </w:r>
      <w:r w:rsidRPr="005047C4">
        <w:rPr>
          <w:sz w:val="24"/>
          <w:szCs w:val="24"/>
        </w:rPr>
        <w:t xml:space="preserve"> miatt, de erre a négy évre is tervezünk beruházásokat. </w:t>
      </w:r>
    </w:p>
    <w:p w14:paraId="611B1250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669A779A" w14:textId="24F96584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Kulcs </w:t>
      </w:r>
      <w:r w:rsidR="00123B2F">
        <w:rPr>
          <w:sz w:val="24"/>
          <w:szCs w:val="24"/>
        </w:rPr>
        <w:t>k</w:t>
      </w:r>
      <w:r w:rsidRPr="005047C4">
        <w:rPr>
          <w:sz w:val="24"/>
          <w:szCs w:val="24"/>
        </w:rPr>
        <w:t xml:space="preserve">özségben </w:t>
      </w:r>
      <w:r w:rsidR="00D05DED">
        <w:rPr>
          <w:sz w:val="24"/>
          <w:szCs w:val="24"/>
        </w:rPr>
        <w:t>a</w:t>
      </w:r>
      <w:r w:rsidR="00123B2F">
        <w:rPr>
          <w:sz w:val="24"/>
          <w:szCs w:val="24"/>
        </w:rPr>
        <w:t xml:space="preserve"> Família út melletti </w:t>
      </w:r>
      <w:r w:rsidR="00D05DED">
        <w:rPr>
          <w:sz w:val="24"/>
          <w:szCs w:val="24"/>
        </w:rPr>
        <w:t>felparcellázott és beépítésre kerülő területe</w:t>
      </w:r>
      <w:r w:rsidR="00123B2F">
        <w:rPr>
          <w:sz w:val="24"/>
          <w:szCs w:val="24"/>
        </w:rPr>
        <w:t>i</w:t>
      </w:r>
      <w:r w:rsidR="00D05DED">
        <w:rPr>
          <w:sz w:val="24"/>
          <w:szCs w:val="24"/>
        </w:rPr>
        <w:t xml:space="preserve">n, </w:t>
      </w:r>
      <w:r w:rsidR="00123B2F">
        <w:rPr>
          <w:sz w:val="24"/>
          <w:szCs w:val="24"/>
        </w:rPr>
        <w:t xml:space="preserve">egyes ún. zártkerti ingatlanain, </w:t>
      </w:r>
      <w:r w:rsidR="00D05DED">
        <w:rPr>
          <w:sz w:val="24"/>
          <w:szCs w:val="24"/>
        </w:rPr>
        <w:t>illetve a KKCS Deák Ferenc utca - Hullám utca érintett szakaszán</w:t>
      </w:r>
      <w:r w:rsidRPr="005047C4">
        <w:rPr>
          <w:sz w:val="24"/>
          <w:szCs w:val="24"/>
        </w:rPr>
        <w:t xml:space="preserve"> nincs egészséges ivóvíz vezeték, ezt a lakossági igények</w:t>
      </w:r>
      <w:r w:rsidR="00D05DED">
        <w:rPr>
          <w:sz w:val="24"/>
          <w:szCs w:val="24"/>
        </w:rPr>
        <w:t xml:space="preserve"> és a települé</w:t>
      </w:r>
      <w:r w:rsidR="008C2BD1">
        <w:rPr>
          <w:sz w:val="24"/>
          <w:szCs w:val="24"/>
        </w:rPr>
        <w:t>s</w:t>
      </w:r>
      <w:r w:rsidR="00D05DED">
        <w:rPr>
          <w:sz w:val="24"/>
          <w:szCs w:val="24"/>
        </w:rPr>
        <w:t>rendezési eszközök adta lehetőségekhez mérten</w:t>
      </w:r>
      <w:r w:rsidRPr="005047C4">
        <w:rPr>
          <w:sz w:val="24"/>
          <w:szCs w:val="24"/>
        </w:rPr>
        <w:t xml:space="preserve"> bővítenünk kell. Az elmúlt év tapasztalatait azonban figyelembe kell venni: csak abban az esetben lehetséges a közmű bővítése, ha abban minden lakó részt kíván venni, mivel az </w:t>
      </w:r>
      <w:proofErr w:type="spellStart"/>
      <w:r w:rsidRPr="005047C4">
        <w:rPr>
          <w:sz w:val="24"/>
          <w:szCs w:val="24"/>
        </w:rPr>
        <w:t>ingatlanonkénti</w:t>
      </w:r>
      <w:proofErr w:type="spellEnd"/>
      <w:r w:rsidRPr="005047C4">
        <w:rPr>
          <w:sz w:val="24"/>
          <w:szCs w:val="24"/>
        </w:rPr>
        <w:t xml:space="preserve"> bekötés díja elég magas összegű, és a jelenlegi gazdasági helyzetben nem mindenki tudja azt felvállalni</w:t>
      </w:r>
      <w:r w:rsidR="00123B2F">
        <w:rPr>
          <w:sz w:val="24"/>
          <w:szCs w:val="24"/>
        </w:rPr>
        <w:t>, a</w:t>
      </w:r>
      <w:r w:rsidRPr="005047C4">
        <w:rPr>
          <w:sz w:val="24"/>
          <w:szCs w:val="24"/>
        </w:rPr>
        <w:t>z Önkormányzat pedig saját pénzéből nem tud ilyen célokat megvalósítani.</w:t>
      </w:r>
    </w:p>
    <w:p w14:paraId="4EEB4867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3345821E" w14:textId="6B6C8BE8" w:rsidR="002675E5" w:rsidRDefault="00D05DED" w:rsidP="002675E5">
      <w:pPr>
        <w:jc w:val="both"/>
        <w:rPr>
          <w:sz w:val="24"/>
          <w:szCs w:val="24"/>
        </w:rPr>
      </w:pPr>
      <w:r>
        <w:rPr>
          <w:sz w:val="24"/>
          <w:szCs w:val="24"/>
        </w:rPr>
        <w:t>Kulcs Községben a szennyvíz kezelésének megoldására a csatornarendszer kiépítse jelenleg is zajlik.</w:t>
      </w:r>
      <w:r w:rsidR="008C2BD1">
        <w:rPr>
          <w:sz w:val="24"/>
          <w:szCs w:val="24"/>
        </w:rPr>
        <w:t xml:space="preserve"> </w:t>
      </w:r>
      <w:r w:rsidR="002675E5" w:rsidRPr="005047C4">
        <w:rPr>
          <w:sz w:val="24"/>
          <w:szCs w:val="24"/>
        </w:rPr>
        <w:t>A Képviselő</w:t>
      </w:r>
      <w:r w:rsidR="00123B2F">
        <w:rPr>
          <w:sz w:val="24"/>
          <w:szCs w:val="24"/>
        </w:rPr>
        <w:t>-</w:t>
      </w:r>
      <w:r w:rsidR="002675E5" w:rsidRPr="005047C4">
        <w:rPr>
          <w:sz w:val="24"/>
          <w:szCs w:val="24"/>
        </w:rPr>
        <w:t>testület ezért szeretné megvalósítani az elkövetkezendő négy év alatt a szennyvíz</w:t>
      </w:r>
      <w:r>
        <w:rPr>
          <w:sz w:val="24"/>
          <w:szCs w:val="24"/>
        </w:rPr>
        <w:t>hálózat kiépítése során felbontott szilárd útburkolatú utak aszfaltozását</w:t>
      </w:r>
      <w:r w:rsidR="002675E5" w:rsidRPr="005047C4">
        <w:rPr>
          <w:sz w:val="24"/>
          <w:szCs w:val="24"/>
        </w:rPr>
        <w:t>. Ez a megoldás kb. 80-10</w:t>
      </w:r>
      <w:r>
        <w:rPr>
          <w:sz w:val="24"/>
          <w:szCs w:val="24"/>
        </w:rPr>
        <w:t xml:space="preserve">0 millió Ft-ból </w:t>
      </w:r>
      <w:r w:rsidR="00123B2F">
        <w:rPr>
          <w:sz w:val="24"/>
          <w:szCs w:val="24"/>
        </w:rPr>
        <w:t xml:space="preserve">lenne </w:t>
      </w:r>
      <w:r>
        <w:rPr>
          <w:sz w:val="24"/>
          <w:szCs w:val="24"/>
        </w:rPr>
        <w:t>megvalósítható, melyhez pályázati forrás bevonása nélkülözhetetlen.</w:t>
      </w:r>
    </w:p>
    <w:p w14:paraId="0C9D858E" w14:textId="77777777" w:rsidR="00D05DED" w:rsidRPr="005047C4" w:rsidRDefault="00D05DED" w:rsidP="002675E5">
      <w:pPr>
        <w:jc w:val="both"/>
        <w:rPr>
          <w:sz w:val="24"/>
          <w:szCs w:val="24"/>
        </w:rPr>
      </w:pPr>
    </w:p>
    <w:p w14:paraId="12194519" w14:textId="77D9D655" w:rsidR="002675E5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A kiskertekben keletkező növényi nyesedék, lakossági növényi étel-hulladék közömbösítésére komposztáló telepet kívánunk megvalósítani. A komposztáló telep napi 8 órában, minden nap fogadná a beérkező hulladékot, és a keletkező komposztot pedig fel tudjuk használni, </w:t>
      </w:r>
      <w:r w:rsidR="00D05DED">
        <w:rPr>
          <w:sz w:val="24"/>
          <w:szCs w:val="24"/>
        </w:rPr>
        <w:t xml:space="preserve">esetleg értékesíteni is tudjuk, vagy az épülő </w:t>
      </w:r>
      <w:r w:rsidR="008C2BD1">
        <w:rPr>
          <w:sz w:val="24"/>
          <w:szCs w:val="24"/>
        </w:rPr>
        <w:t xml:space="preserve">biomassza fűtőműben felhasználható lenne. </w:t>
      </w:r>
      <w:proofErr w:type="gramStart"/>
      <w:r w:rsidR="00123B2F">
        <w:rPr>
          <w:sz w:val="24"/>
          <w:szCs w:val="24"/>
        </w:rPr>
        <w:t xml:space="preserve">Ez </w:t>
      </w:r>
      <w:r w:rsidR="008C2BD1">
        <w:rPr>
          <w:sz w:val="24"/>
          <w:szCs w:val="24"/>
        </w:rPr>
        <w:t xml:space="preserve"> 3.000.000</w:t>
      </w:r>
      <w:proofErr w:type="gramEnd"/>
      <w:r w:rsidR="008C2BD1">
        <w:rPr>
          <w:sz w:val="24"/>
          <w:szCs w:val="24"/>
        </w:rPr>
        <w:t xml:space="preserve"> Ft önrész</w:t>
      </w:r>
      <w:r w:rsidR="00123B2F">
        <w:rPr>
          <w:sz w:val="24"/>
          <w:szCs w:val="24"/>
        </w:rPr>
        <w:t>t igényel.</w:t>
      </w:r>
    </w:p>
    <w:p w14:paraId="6E7C7F82" w14:textId="77777777" w:rsidR="00D05DED" w:rsidRPr="005047C4" w:rsidRDefault="00D05DED" w:rsidP="002675E5">
      <w:pPr>
        <w:jc w:val="both"/>
        <w:rPr>
          <w:sz w:val="24"/>
          <w:szCs w:val="24"/>
        </w:rPr>
      </w:pPr>
    </w:p>
    <w:p w14:paraId="39349D9B" w14:textId="09861C54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A település ellátása érdekében létre szeretnénk hozni egy önkormányzati vállalkozást, amely kompletten kezelné a község igényeit: útkarbantartás, fűnyírás, hótolás, szennyvíz-szippantás, intézmények karbantartása, takarítása stb. Ezzel lehetőségünk nyílik az önkormányzat által fizetendő általános forgalmi adó visszaigénylésére is. </w:t>
      </w:r>
      <w:r w:rsidR="00475063">
        <w:rPr>
          <w:sz w:val="24"/>
          <w:szCs w:val="24"/>
        </w:rPr>
        <w:t xml:space="preserve">Ehhez </w:t>
      </w:r>
      <w:r w:rsidR="00123B2F">
        <w:rPr>
          <w:sz w:val="24"/>
          <w:szCs w:val="24"/>
        </w:rPr>
        <w:t xml:space="preserve">a meglévő, jelenleg épülő biomassza </w:t>
      </w:r>
      <w:r w:rsidR="00475063">
        <w:rPr>
          <w:sz w:val="24"/>
          <w:szCs w:val="24"/>
        </w:rPr>
        <w:t>telephely</w:t>
      </w:r>
      <w:r w:rsidR="00123B2F">
        <w:rPr>
          <w:sz w:val="24"/>
          <w:szCs w:val="24"/>
        </w:rPr>
        <w:t>ére,</w:t>
      </w:r>
      <w:r w:rsidR="00475063">
        <w:rPr>
          <w:sz w:val="24"/>
          <w:szCs w:val="24"/>
        </w:rPr>
        <w:t xml:space="preserve"> és</w:t>
      </w:r>
      <w:r w:rsidR="00123B2F">
        <w:rPr>
          <w:sz w:val="24"/>
          <w:szCs w:val="24"/>
        </w:rPr>
        <w:t xml:space="preserve"> a szükséges</w:t>
      </w:r>
      <w:r w:rsidR="00475063">
        <w:rPr>
          <w:sz w:val="24"/>
          <w:szCs w:val="24"/>
        </w:rPr>
        <w:t xml:space="preserve"> eszköz</w:t>
      </w:r>
      <w:r w:rsidR="00123B2F">
        <w:rPr>
          <w:sz w:val="24"/>
          <w:szCs w:val="24"/>
        </w:rPr>
        <w:t>ök meg</w:t>
      </w:r>
      <w:r w:rsidR="00475063">
        <w:rPr>
          <w:sz w:val="24"/>
          <w:szCs w:val="24"/>
        </w:rPr>
        <w:t xml:space="preserve">vásárlásra, illetve munkaerőfelvételre van szükség. </w:t>
      </w:r>
      <w:r w:rsidR="00123B2F">
        <w:rPr>
          <w:sz w:val="24"/>
          <w:szCs w:val="24"/>
        </w:rPr>
        <w:t>Ennek várható költsége</w:t>
      </w:r>
      <w:r w:rsidR="00475063">
        <w:rPr>
          <w:sz w:val="24"/>
          <w:szCs w:val="24"/>
        </w:rPr>
        <w:t xml:space="preserve"> 50.000.000 Ft</w:t>
      </w:r>
      <w:r w:rsidR="00123B2F">
        <w:rPr>
          <w:sz w:val="24"/>
          <w:szCs w:val="24"/>
        </w:rPr>
        <w:t>.</w:t>
      </w:r>
    </w:p>
    <w:p w14:paraId="328F150E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36279A72" w14:textId="7506E12B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Fejleszteni kívánjuk az ipari </w:t>
      </w:r>
      <w:r w:rsidR="008C2BD1">
        <w:rPr>
          <w:sz w:val="24"/>
          <w:szCs w:val="24"/>
        </w:rPr>
        <w:t>területet</w:t>
      </w:r>
      <w:r w:rsidRPr="005047C4">
        <w:rPr>
          <w:sz w:val="24"/>
          <w:szCs w:val="24"/>
        </w:rPr>
        <w:t xml:space="preserve"> is acélból, hogy beruházó cégek ide települési szándékát ösztönözzük. Az ipari parkhoz vezető utat le kell aszfaltozni a jo</w:t>
      </w:r>
      <w:r w:rsidR="008C2BD1">
        <w:rPr>
          <w:sz w:val="24"/>
          <w:szCs w:val="24"/>
        </w:rPr>
        <w:t xml:space="preserve">bb megközelíthetőség érdekében, továbbá olyan sávos adózási formát kell bevezetni, amellyel jól prosperáló vállalkozásokat tudunk a településre vonzani. </w:t>
      </w:r>
      <w:r w:rsidR="00123B2F">
        <w:rPr>
          <w:sz w:val="24"/>
          <w:szCs w:val="24"/>
        </w:rPr>
        <w:t>Ennek várható költsége</w:t>
      </w:r>
      <w:r w:rsidR="008C2BD1">
        <w:rPr>
          <w:sz w:val="24"/>
          <w:szCs w:val="24"/>
        </w:rPr>
        <w:t xml:space="preserve"> 10.000.000 Ft</w:t>
      </w:r>
      <w:r w:rsidR="00123B2F">
        <w:rPr>
          <w:sz w:val="24"/>
          <w:szCs w:val="24"/>
        </w:rPr>
        <w:t>.</w:t>
      </w:r>
    </w:p>
    <w:p w14:paraId="285CD185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0BDEA772" w14:textId="7602508F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lastRenderedPageBreak/>
        <w:t>A község területén szükség lesz a közvilágítás bővítésére, az utak portalanítására, aszfaltozására is. Ezekre a munkálatokra a szükségleteknek megfelelően, megtakarításaink szerint, illetve pályázati támogatások elnyerése esetén fog sor kerülni.</w:t>
      </w:r>
      <w:r w:rsidR="008C2BD1">
        <w:rPr>
          <w:sz w:val="24"/>
          <w:szCs w:val="24"/>
        </w:rPr>
        <w:t xml:space="preserve"> </w:t>
      </w:r>
      <w:r w:rsidR="00123B2F">
        <w:rPr>
          <w:sz w:val="24"/>
          <w:szCs w:val="24"/>
        </w:rPr>
        <w:t xml:space="preserve">Ez a feladat </w:t>
      </w:r>
      <w:r w:rsidR="008C2BD1">
        <w:rPr>
          <w:sz w:val="24"/>
          <w:szCs w:val="24"/>
        </w:rPr>
        <w:t>mintegy 60.000.000 Ft</w:t>
      </w:r>
      <w:r w:rsidR="00123B2F">
        <w:rPr>
          <w:sz w:val="24"/>
          <w:szCs w:val="24"/>
        </w:rPr>
        <w:t xml:space="preserve"> költséget igényel.</w:t>
      </w:r>
    </w:p>
    <w:p w14:paraId="77CA88DE" w14:textId="77777777" w:rsidR="002675E5" w:rsidRDefault="002675E5" w:rsidP="002675E5">
      <w:pPr>
        <w:jc w:val="both"/>
        <w:rPr>
          <w:sz w:val="24"/>
          <w:szCs w:val="24"/>
        </w:rPr>
      </w:pPr>
    </w:p>
    <w:p w14:paraId="2FF19F4A" w14:textId="51E358CD" w:rsidR="00475063" w:rsidRPr="005047C4" w:rsidRDefault="00475063" w:rsidP="00267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település fő útja mentén a járdaépítés befejezése </w:t>
      </w:r>
      <w:r w:rsidR="00836844">
        <w:rPr>
          <w:sz w:val="24"/>
          <w:szCs w:val="24"/>
        </w:rPr>
        <w:t>2 szakaszt érint</w:t>
      </w:r>
      <w:r w:rsidR="00123B2F">
        <w:rPr>
          <w:sz w:val="24"/>
          <w:szCs w:val="24"/>
        </w:rPr>
        <w:t>:</w:t>
      </w:r>
      <w:r w:rsidR="00836844">
        <w:rPr>
          <w:sz w:val="24"/>
          <w:szCs w:val="24"/>
        </w:rPr>
        <w:t xml:space="preserve"> Rákóczi utca (Református templomtól az Óvodáig), illetve a Nyár utcától a 6. sz. főútig. Ezen beruházások mintegy 80.000.000 Ft-ot tesznek ki. Utóbbi szakaszon </w:t>
      </w:r>
      <w:r w:rsidR="00123B2F">
        <w:rPr>
          <w:sz w:val="24"/>
          <w:szCs w:val="24"/>
        </w:rPr>
        <w:t xml:space="preserve">a járdaépítés </w:t>
      </w:r>
      <w:r w:rsidR="00836844">
        <w:rPr>
          <w:sz w:val="24"/>
          <w:szCs w:val="24"/>
        </w:rPr>
        <w:t>kivitelezésére pályázati forrást nem tudnunk igénybe venni</w:t>
      </w:r>
      <w:r w:rsidR="00123B2F">
        <w:rPr>
          <w:sz w:val="24"/>
          <w:szCs w:val="24"/>
        </w:rPr>
        <w:t>, mivel az ingatlan a Sportpályától a 6. sz. főútig nem az Önkormányzat, hanem a Magyar Állam tulajdona</w:t>
      </w:r>
      <w:r w:rsidR="00836844">
        <w:rPr>
          <w:sz w:val="24"/>
          <w:szCs w:val="24"/>
        </w:rPr>
        <w:t>.</w:t>
      </w:r>
    </w:p>
    <w:p w14:paraId="6378B06C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28151792" w14:textId="77777777" w:rsidR="002675E5" w:rsidRPr="005047C4" w:rsidRDefault="002675E5" w:rsidP="002675E5">
      <w:pPr>
        <w:jc w:val="both"/>
        <w:rPr>
          <w:sz w:val="24"/>
          <w:szCs w:val="24"/>
          <w:u w:val="single"/>
        </w:rPr>
      </w:pPr>
      <w:r w:rsidRPr="005047C4">
        <w:rPr>
          <w:sz w:val="24"/>
          <w:szCs w:val="24"/>
          <w:u w:val="single"/>
        </w:rPr>
        <w:t>Kárveszély-elhárítások</w:t>
      </w:r>
    </w:p>
    <w:p w14:paraId="4C360AF0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504E7D4B" w14:textId="7EAB56E0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>Belterületen – ahol a belvíz veszélyt jelent – ahol az út szélessége engedi, ki kívánjuk építeni a csapadékvíz elvezető nyílt vagy burkolt árkokat. Ennek alapfeltétele a központi állami támogatás vagy pályázati lehetőség</w:t>
      </w:r>
      <w:r w:rsidR="008C2BD1">
        <w:rPr>
          <w:sz w:val="24"/>
          <w:szCs w:val="24"/>
        </w:rPr>
        <w:t xml:space="preserve">, esetleg </w:t>
      </w:r>
      <w:proofErr w:type="spellStart"/>
      <w:r w:rsidR="008C2BD1">
        <w:rPr>
          <w:sz w:val="24"/>
          <w:szCs w:val="24"/>
        </w:rPr>
        <w:t>vis</w:t>
      </w:r>
      <w:proofErr w:type="spellEnd"/>
      <w:r w:rsidR="008C2BD1">
        <w:rPr>
          <w:sz w:val="24"/>
          <w:szCs w:val="24"/>
        </w:rPr>
        <w:t xml:space="preserve"> major</w:t>
      </w:r>
      <w:r w:rsidR="00342DEA">
        <w:rPr>
          <w:sz w:val="24"/>
          <w:szCs w:val="24"/>
        </w:rPr>
        <w:t xml:space="preserve"> támogatás </w:t>
      </w:r>
      <w:proofErr w:type="gramStart"/>
      <w:r w:rsidR="00342DEA">
        <w:rPr>
          <w:sz w:val="24"/>
          <w:szCs w:val="24"/>
        </w:rPr>
        <w:t>igénybe vétele</w:t>
      </w:r>
      <w:proofErr w:type="gramEnd"/>
      <w:r w:rsidRPr="005047C4">
        <w:rPr>
          <w:sz w:val="24"/>
          <w:szCs w:val="24"/>
        </w:rPr>
        <w:t>. A belvíz, és csapadékvíz elvezetésére először is vízelvezetési tervet kell készíttetnünk a következő évben, ezt követheti majd pályázat beadása.</w:t>
      </w:r>
      <w:r w:rsidR="008C2BD1">
        <w:rPr>
          <w:sz w:val="24"/>
          <w:szCs w:val="24"/>
        </w:rPr>
        <w:t xml:space="preserve"> –</w:t>
      </w:r>
      <w:r w:rsidR="00342DEA">
        <w:rPr>
          <w:sz w:val="24"/>
          <w:szCs w:val="24"/>
        </w:rPr>
        <w:t xml:space="preserve">Várhat költség: </w:t>
      </w:r>
      <w:r w:rsidR="008C2BD1">
        <w:rPr>
          <w:sz w:val="24"/>
          <w:szCs w:val="24"/>
        </w:rPr>
        <w:t>230.000.000 Ft</w:t>
      </w:r>
    </w:p>
    <w:p w14:paraId="6E29737F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4740B364" w14:textId="0DA2EC71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A bekövetkezett omlás- és csúszásveszély a Duna-parton indokolttá teszi a partfal omlás- és csúszásveszélyességének elhárítására kiírt pályázaton való elindulást. Mivel két veszélyeztetett térségünk </w:t>
      </w:r>
      <w:r w:rsidR="008C2BD1">
        <w:rPr>
          <w:sz w:val="24"/>
          <w:szCs w:val="24"/>
        </w:rPr>
        <w:t xml:space="preserve">esetében már történt stabilizáció, </w:t>
      </w:r>
      <w:r w:rsidR="00FA482F">
        <w:rPr>
          <w:sz w:val="24"/>
          <w:szCs w:val="24"/>
        </w:rPr>
        <w:t>2</w:t>
      </w:r>
      <w:r w:rsidR="008C2BD1">
        <w:rPr>
          <w:sz w:val="24"/>
          <w:szCs w:val="24"/>
        </w:rPr>
        <w:t xml:space="preserve"> pedig </w:t>
      </w:r>
      <w:r w:rsidRPr="005047C4">
        <w:rPr>
          <w:sz w:val="24"/>
          <w:szCs w:val="24"/>
        </w:rPr>
        <w:t>jelen pillanatban</w:t>
      </w:r>
      <w:r w:rsidR="008C2BD1">
        <w:rPr>
          <w:sz w:val="24"/>
          <w:szCs w:val="24"/>
        </w:rPr>
        <w:t xml:space="preserve"> is aktív mozgásveszélyes terület</w:t>
      </w:r>
      <w:r w:rsidRPr="005047C4">
        <w:rPr>
          <w:sz w:val="24"/>
          <w:szCs w:val="24"/>
        </w:rPr>
        <w:t xml:space="preserve"> Kulcson, ezért </w:t>
      </w:r>
      <w:r w:rsidR="008C2BD1">
        <w:rPr>
          <w:sz w:val="24"/>
          <w:szCs w:val="24"/>
        </w:rPr>
        <w:t>egy</w:t>
      </w:r>
      <w:r w:rsidRPr="005047C4">
        <w:rPr>
          <w:sz w:val="24"/>
          <w:szCs w:val="24"/>
        </w:rPr>
        <w:t xml:space="preserve"> pályázatot kívánunk beadni</w:t>
      </w:r>
      <w:r w:rsidR="00C4176D">
        <w:rPr>
          <w:sz w:val="24"/>
          <w:szCs w:val="24"/>
        </w:rPr>
        <w:t>, mint konzorciumi partner (mivel az önkormányzat nem rendelkezik az adott területen tulajdonnal, ahol a beruházás kivitelezhető)</w:t>
      </w:r>
      <w:r w:rsidRPr="005047C4">
        <w:rPr>
          <w:sz w:val="24"/>
          <w:szCs w:val="24"/>
        </w:rPr>
        <w:t xml:space="preserve">, és – amennyiben eredményes lesz a pályázat – </w:t>
      </w:r>
      <w:r w:rsidR="008C2BD1">
        <w:rPr>
          <w:sz w:val="24"/>
          <w:szCs w:val="24"/>
        </w:rPr>
        <w:t xml:space="preserve">Vöröspart, cca. 2.000.000.000 </w:t>
      </w:r>
      <w:proofErr w:type="gramStart"/>
      <w:r w:rsidR="008C2BD1">
        <w:rPr>
          <w:sz w:val="24"/>
          <w:szCs w:val="24"/>
        </w:rPr>
        <w:t xml:space="preserve">Ft </w:t>
      </w:r>
      <w:r w:rsidR="00FA482F">
        <w:rPr>
          <w:sz w:val="24"/>
          <w:szCs w:val="24"/>
        </w:rPr>
        <w:t>,</w:t>
      </w:r>
      <w:proofErr w:type="gramEnd"/>
      <w:r w:rsidR="00FA482F">
        <w:rPr>
          <w:sz w:val="24"/>
          <w:szCs w:val="24"/>
        </w:rPr>
        <w:t xml:space="preserve"> egyet pedig </w:t>
      </w:r>
      <w:proofErr w:type="spellStart"/>
      <w:r w:rsidR="00FA482F">
        <w:rPr>
          <w:sz w:val="24"/>
          <w:szCs w:val="24"/>
        </w:rPr>
        <w:t>vis</w:t>
      </w:r>
      <w:proofErr w:type="spellEnd"/>
      <w:r w:rsidR="00FA482F">
        <w:rPr>
          <w:sz w:val="24"/>
          <w:szCs w:val="24"/>
        </w:rPr>
        <w:t xml:space="preserve"> major keretből kívánunk kivitelezni, melynek önrésze mintegy 15.000.000 Ft lenne.</w:t>
      </w:r>
    </w:p>
    <w:p w14:paraId="182EDEAB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592109B5" w14:textId="77777777" w:rsidR="002675E5" w:rsidRPr="005047C4" w:rsidRDefault="002675E5" w:rsidP="002675E5">
      <w:pPr>
        <w:jc w:val="both"/>
        <w:rPr>
          <w:sz w:val="24"/>
          <w:szCs w:val="24"/>
          <w:u w:val="single"/>
        </w:rPr>
      </w:pPr>
      <w:r w:rsidRPr="005047C4">
        <w:rPr>
          <w:sz w:val="24"/>
          <w:szCs w:val="24"/>
          <w:u w:val="single"/>
        </w:rPr>
        <w:t>Polgármesteri Hivatal:</w:t>
      </w:r>
    </w:p>
    <w:p w14:paraId="637E3872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7C48697E" w14:textId="4A41D48F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A Polgármesteri Hivatal fő céljaként határozzuk meg, hogy a törvényesség betartásával, a </w:t>
      </w:r>
      <w:r w:rsidR="00342DEA">
        <w:rPr>
          <w:sz w:val="24"/>
          <w:szCs w:val="24"/>
        </w:rPr>
        <w:t>település</w:t>
      </w:r>
      <w:r w:rsidRPr="005047C4">
        <w:rPr>
          <w:sz w:val="24"/>
          <w:szCs w:val="24"/>
        </w:rPr>
        <w:t xml:space="preserve"> lakosságának érdekében járjon el. Következetesen kell törekedni a szolgáltató jellegű tevékenységre, a magas színvonalú működésre.</w:t>
      </w:r>
    </w:p>
    <w:p w14:paraId="0103FF30" w14:textId="77777777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>Fel kell vállalni olyan általáno</w:t>
      </w:r>
      <w:r w:rsidR="00C4176D">
        <w:rPr>
          <w:sz w:val="24"/>
          <w:szCs w:val="24"/>
        </w:rPr>
        <w:t>s feladatokat is, amelyek ugyan szorosan nem kapcsolódnak</w:t>
      </w:r>
      <w:r w:rsidRPr="005047C4">
        <w:rPr>
          <w:sz w:val="24"/>
          <w:szCs w:val="24"/>
        </w:rPr>
        <w:t xml:space="preserve"> a hivatal munkájához, azonban a lakosság érdekeit szolgálják (kulturális rendezvények, az általános tájékoztatás, családi események </w:t>
      </w:r>
      <w:proofErr w:type="gramStart"/>
      <w:r w:rsidRPr="005047C4">
        <w:rPr>
          <w:sz w:val="24"/>
          <w:szCs w:val="24"/>
        </w:rPr>
        <w:t>rendezése,</w:t>
      </w:r>
      <w:proofErr w:type="gramEnd"/>
      <w:r w:rsidRPr="005047C4">
        <w:rPr>
          <w:sz w:val="24"/>
          <w:szCs w:val="24"/>
        </w:rPr>
        <w:t xml:space="preserve"> stb.)</w:t>
      </w:r>
      <w:r w:rsidR="00C4176D">
        <w:rPr>
          <w:sz w:val="24"/>
          <w:szCs w:val="24"/>
        </w:rPr>
        <w:t xml:space="preserve"> – évi 15.000.000 Ft</w:t>
      </w:r>
    </w:p>
    <w:p w14:paraId="11618405" w14:textId="77777777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 </w:t>
      </w:r>
    </w:p>
    <w:p w14:paraId="65127467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10088ECA" w14:textId="77777777" w:rsidR="002675E5" w:rsidRPr="005047C4" w:rsidRDefault="002675E5" w:rsidP="002675E5">
      <w:pPr>
        <w:jc w:val="both"/>
        <w:rPr>
          <w:sz w:val="24"/>
          <w:szCs w:val="24"/>
          <w:u w:val="single"/>
        </w:rPr>
      </w:pPr>
      <w:r w:rsidRPr="005047C4">
        <w:rPr>
          <w:sz w:val="24"/>
          <w:szCs w:val="24"/>
          <w:u w:val="single"/>
        </w:rPr>
        <w:t>Közintézmények</w:t>
      </w:r>
    </w:p>
    <w:p w14:paraId="335AA4D0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377199B4" w14:textId="1A2AE41B" w:rsidR="002675E5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>A Százhol</w:t>
      </w:r>
      <w:r w:rsidR="00C4176D">
        <w:rPr>
          <w:sz w:val="24"/>
          <w:szCs w:val="24"/>
        </w:rPr>
        <w:t xml:space="preserve">das Pagony Óvoda és Bölcsőde </w:t>
      </w:r>
      <w:r w:rsidRPr="005047C4">
        <w:rPr>
          <w:sz w:val="24"/>
          <w:szCs w:val="24"/>
        </w:rPr>
        <w:t xml:space="preserve">mára már </w:t>
      </w:r>
      <w:proofErr w:type="spellStart"/>
      <w:r w:rsidRPr="005047C4">
        <w:rPr>
          <w:sz w:val="24"/>
          <w:szCs w:val="24"/>
        </w:rPr>
        <w:t>kinőtt</w:t>
      </w:r>
      <w:r w:rsidR="00C4176D">
        <w:rPr>
          <w:sz w:val="24"/>
          <w:szCs w:val="24"/>
        </w:rPr>
        <w:t>e</w:t>
      </w:r>
      <w:proofErr w:type="spellEnd"/>
      <w:r w:rsidR="00C4176D">
        <w:rPr>
          <w:sz w:val="24"/>
          <w:szCs w:val="24"/>
        </w:rPr>
        <w:t xml:space="preserve"> magát, ezért egy új bölcsőde építésében kell gondolkoznunk, illetve az óvoda felújításában, bővítésében, amelyet pályázati forrásból igyekszünk megvalósítani</w:t>
      </w:r>
      <w:r w:rsidR="00475063">
        <w:rPr>
          <w:sz w:val="24"/>
          <w:szCs w:val="24"/>
        </w:rPr>
        <w:t>, energetikai fejlesztésekkel együtt</w:t>
      </w:r>
      <w:r w:rsidR="00C4176D">
        <w:rPr>
          <w:sz w:val="24"/>
          <w:szCs w:val="24"/>
        </w:rPr>
        <w:t xml:space="preserve">. </w:t>
      </w:r>
      <w:r w:rsidR="00342DEA">
        <w:rPr>
          <w:sz w:val="24"/>
          <w:szCs w:val="24"/>
        </w:rPr>
        <w:t>Ez mintegy</w:t>
      </w:r>
      <w:r w:rsidR="00475063">
        <w:rPr>
          <w:sz w:val="24"/>
          <w:szCs w:val="24"/>
        </w:rPr>
        <w:t xml:space="preserve"> 310</w:t>
      </w:r>
      <w:r w:rsidR="00C4176D">
        <w:rPr>
          <w:sz w:val="24"/>
          <w:szCs w:val="24"/>
        </w:rPr>
        <w:t>.000.000 Ft</w:t>
      </w:r>
      <w:r w:rsidR="00342DEA">
        <w:rPr>
          <w:sz w:val="24"/>
          <w:szCs w:val="24"/>
        </w:rPr>
        <w:t>-ot venne igénybe.</w:t>
      </w:r>
    </w:p>
    <w:p w14:paraId="1C225593" w14:textId="77777777" w:rsidR="00C4176D" w:rsidRPr="005047C4" w:rsidRDefault="00C4176D" w:rsidP="002675E5">
      <w:pPr>
        <w:jc w:val="both"/>
        <w:rPr>
          <w:sz w:val="24"/>
          <w:szCs w:val="24"/>
        </w:rPr>
      </w:pPr>
    </w:p>
    <w:p w14:paraId="6C39B14E" w14:textId="6D50BBC0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>A Fekete István Általános Iskola is megtelt, szükség van a tetőtér új tanulószobákkal és ehhez szükséges mellékhelyiségekkel való kibővítésére</w:t>
      </w:r>
      <w:r w:rsidR="00C4176D">
        <w:rPr>
          <w:sz w:val="24"/>
          <w:szCs w:val="24"/>
        </w:rPr>
        <w:t>, a tanári épületének átalakítására, új öltözők és kiszolgáló helyiségek kialakítására</w:t>
      </w:r>
      <w:r w:rsidRPr="005047C4">
        <w:rPr>
          <w:sz w:val="24"/>
          <w:szCs w:val="24"/>
        </w:rPr>
        <w:t xml:space="preserve">. </w:t>
      </w:r>
      <w:r w:rsidR="00C4176D">
        <w:rPr>
          <w:sz w:val="24"/>
          <w:szCs w:val="24"/>
        </w:rPr>
        <w:t>A felmerülő igények költségei a komplex beruházás kapcsán elérik az 1.000.000.000 Ft-ot.</w:t>
      </w:r>
      <w:r w:rsidR="00342DEA">
        <w:rPr>
          <w:sz w:val="24"/>
          <w:szCs w:val="24"/>
        </w:rPr>
        <w:t xml:space="preserve"> Az általános iskola bővítésére az önkormányzat mindent megtett, saját költségén a komplex tervek elkészültek, és a pályázatot benyújtottuk Magyarország Kormánya felé, jelenleg várjuk a pályázat elbírálását, döntés születését. </w:t>
      </w:r>
    </w:p>
    <w:p w14:paraId="7C53F36B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3BAE5A44" w14:textId="0B319638" w:rsidR="002675E5" w:rsidRPr="005047C4" w:rsidRDefault="00C4176D" w:rsidP="00267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képviselőtestület igyekszik megtalálni </w:t>
      </w:r>
      <w:r w:rsidR="002675E5" w:rsidRPr="005047C4">
        <w:rPr>
          <w:sz w:val="24"/>
          <w:szCs w:val="24"/>
        </w:rPr>
        <w:t>a lehetőséget arra, hogy Idősek Napközi Otthonát tudjunk kialakítani</w:t>
      </w:r>
      <w:r>
        <w:rPr>
          <w:sz w:val="24"/>
          <w:szCs w:val="24"/>
        </w:rPr>
        <w:t>, illetve egy új települési központot hozzunk létre, mivel a jelenlegi Kossuth Lajos utcai park kapacitása messze elmarad a felmerülő igényektől</w:t>
      </w:r>
      <w:r w:rsidR="002675E5" w:rsidRPr="005047C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42DEA">
        <w:rPr>
          <w:sz w:val="24"/>
          <w:szCs w:val="24"/>
        </w:rPr>
        <w:t>Jelenleg ilyen célra megfelelő infrastruktúrával, saját ingatlannal nem rendelkezünk. Ennek várható költsége</w:t>
      </w:r>
      <w:r>
        <w:rPr>
          <w:sz w:val="24"/>
          <w:szCs w:val="24"/>
        </w:rPr>
        <w:t xml:space="preserve"> 70.000.000 Ft</w:t>
      </w:r>
      <w:r w:rsidR="00342DEA">
        <w:rPr>
          <w:sz w:val="24"/>
          <w:szCs w:val="24"/>
        </w:rPr>
        <w:t>.</w:t>
      </w:r>
      <w:r w:rsidR="002675E5" w:rsidRPr="005047C4">
        <w:rPr>
          <w:sz w:val="24"/>
          <w:szCs w:val="24"/>
        </w:rPr>
        <w:t xml:space="preserve"> </w:t>
      </w:r>
    </w:p>
    <w:p w14:paraId="2AC9A910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587A0D98" w14:textId="1E0DB5D3" w:rsidR="00475063" w:rsidRPr="005047C4" w:rsidRDefault="00475063" w:rsidP="00267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polgármesteri hivatal épületének energetikai korszerűsítése időszerű, erre pályázati forrásból 60.000.000 Ft-ot igyekszünk fordítani. </w:t>
      </w:r>
      <w:r w:rsidR="00342DEA">
        <w:rPr>
          <w:sz w:val="24"/>
          <w:szCs w:val="24"/>
        </w:rPr>
        <w:t xml:space="preserve">A pályázat elbírálás alatt, döntésre vár. </w:t>
      </w:r>
    </w:p>
    <w:p w14:paraId="5D686D3D" w14:textId="3C17EA65" w:rsidR="002675E5" w:rsidRDefault="002675E5" w:rsidP="002675E5">
      <w:pPr>
        <w:jc w:val="both"/>
        <w:rPr>
          <w:sz w:val="24"/>
          <w:szCs w:val="24"/>
        </w:rPr>
      </w:pPr>
    </w:p>
    <w:p w14:paraId="7C87FC81" w14:textId="77777777" w:rsidR="00DA1FCC" w:rsidRPr="005047C4" w:rsidRDefault="00DA1FCC" w:rsidP="002675E5">
      <w:pPr>
        <w:jc w:val="both"/>
        <w:rPr>
          <w:sz w:val="24"/>
          <w:szCs w:val="24"/>
        </w:rPr>
      </w:pPr>
    </w:p>
    <w:p w14:paraId="0A33A204" w14:textId="77777777" w:rsidR="002675E5" w:rsidRPr="005047C4" w:rsidRDefault="002675E5" w:rsidP="002675E5">
      <w:pPr>
        <w:jc w:val="both"/>
        <w:rPr>
          <w:sz w:val="24"/>
          <w:szCs w:val="24"/>
          <w:u w:val="single"/>
        </w:rPr>
      </w:pPr>
      <w:r w:rsidRPr="005047C4">
        <w:rPr>
          <w:sz w:val="24"/>
          <w:szCs w:val="24"/>
          <w:u w:val="single"/>
        </w:rPr>
        <w:t>Közbiztonság</w:t>
      </w:r>
    </w:p>
    <w:p w14:paraId="79DB39A8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7190A2AE" w14:textId="77777777" w:rsidR="00DA1FCC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A </w:t>
      </w:r>
      <w:r w:rsidR="00475063">
        <w:rPr>
          <w:sz w:val="24"/>
          <w:szCs w:val="24"/>
        </w:rPr>
        <w:t>településen modern</w:t>
      </w:r>
      <w:r w:rsidRPr="005047C4">
        <w:rPr>
          <w:sz w:val="24"/>
          <w:szCs w:val="24"/>
        </w:rPr>
        <w:t xml:space="preserve"> </w:t>
      </w:r>
      <w:r w:rsidR="00475063">
        <w:rPr>
          <w:sz w:val="24"/>
          <w:szCs w:val="24"/>
        </w:rPr>
        <w:t>térfigyelő kamera rendszer kerül kiépítésre, illetve a településen működő 2 polgárőr egyesülettel is együttműködési megállapodást kötöttünk</w:t>
      </w:r>
      <w:r w:rsidRPr="005047C4">
        <w:rPr>
          <w:sz w:val="24"/>
          <w:szCs w:val="24"/>
        </w:rPr>
        <w:t>.</w:t>
      </w:r>
      <w:r w:rsidR="00475063">
        <w:rPr>
          <w:sz w:val="24"/>
          <w:szCs w:val="24"/>
        </w:rPr>
        <w:t xml:space="preserve"> </w:t>
      </w:r>
      <w:r w:rsidR="00342DEA">
        <w:rPr>
          <w:sz w:val="24"/>
          <w:szCs w:val="24"/>
        </w:rPr>
        <w:t>A térfigyelő rendszer mintegy 12.000.000 Ft-ba kerül</w:t>
      </w:r>
      <w:r w:rsidR="00DA1FCC">
        <w:rPr>
          <w:sz w:val="24"/>
          <w:szCs w:val="24"/>
        </w:rPr>
        <w:t xml:space="preserve">. </w:t>
      </w:r>
    </w:p>
    <w:p w14:paraId="131386CF" w14:textId="77777777" w:rsidR="00DA1FCC" w:rsidRDefault="00DA1FCC" w:rsidP="002675E5">
      <w:pPr>
        <w:jc w:val="both"/>
        <w:rPr>
          <w:sz w:val="24"/>
          <w:szCs w:val="24"/>
        </w:rPr>
      </w:pPr>
    </w:p>
    <w:p w14:paraId="30F93C68" w14:textId="40B54B9E" w:rsidR="002675E5" w:rsidRDefault="00DA1FCC" w:rsidP="00267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polgárőr egyesületeknek is igyekszünk évente tőlünk telhetően működési támogatást juttatni. A körzeti megbízott és a polgárőr egyesületek tevékenysége együttesen biztosítja településünk nyugodt életét, a közbiztonság megteremtését. </w:t>
      </w:r>
    </w:p>
    <w:p w14:paraId="530F12F1" w14:textId="04568AFC" w:rsidR="00DA1FCC" w:rsidRDefault="00DA1FCC" w:rsidP="002675E5">
      <w:pPr>
        <w:jc w:val="both"/>
        <w:rPr>
          <w:sz w:val="24"/>
          <w:szCs w:val="24"/>
        </w:rPr>
      </w:pPr>
    </w:p>
    <w:p w14:paraId="071E9A73" w14:textId="77777777" w:rsidR="00DA1FCC" w:rsidRPr="005047C4" w:rsidRDefault="00DA1FCC" w:rsidP="002675E5">
      <w:pPr>
        <w:jc w:val="both"/>
        <w:rPr>
          <w:sz w:val="24"/>
          <w:szCs w:val="24"/>
        </w:rPr>
      </w:pPr>
    </w:p>
    <w:p w14:paraId="648F40F0" w14:textId="77777777" w:rsidR="002675E5" w:rsidRPr="005047C4" w:rsidRDefault="002675E5" w:rsidP="002675E5">
      <w:pPr>
        <w:jc w:val="both"/>
        <w:rPr>
          <w:sz w:val="24"/>
          <w:szCs w:val="24"/>
          <w:u w:val="single"/>
        </w:rPr>
      </w:pPr>
      <w:r w:rsidRPr="005047C4">
        <w:rPr>
          <w:sz w:val="24"/>
          <w:szCs w:val="24"/>
          <w:u w:val="single"/>
        </w:rPr>
        <w:t>Egészséges életmód, turizmus fejlesztése</w:t>
      </w:r>
    </w:p>
    <w:p w14:paraId="66BB2B40" w14:textId="77777777" w:rsidR="002675E5" w:rsidRPr="005047C4" w:rsidRDefault="002675E5" w:rsidP="002675E5">
      <w:pPr>
        <w:jc w:val="both"/>
        <w:rPr>
          <w:sz w:val="24"/>
          <w:szCs w:val="24"/>
          <w:u w:val="single"/>
        </w:rPr>
      </w:pPr>
    </w:p>
    <w:p w14:paraId="35771DF4" w14:textId="79E4E4E3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>A turizmus fejlesztése Kulcs községnek is kiemelt célja kell, hogy legyen. 2010-ben elkészült a Hajóállomás épülete, mely szálláshellyel tud szolgálni az ide látogató vízi járművek használói részére</w:t>
      </w:r>
      <w:r w:rsidR="00475063">
        <w:rPr>
          <w:sz w:val="24"/>
          <w:szCs w:val="24"/>
        </w:rPr>
        <w:t>, amely mára azonban már elavult, nem szolgálja ki a fogyasztói igényeket</w:t>
      </w:r>
      <w:r w:rsidRPr="005047C4">
        <w:rPr>
          <w:sz w:val="24"/>
          <w:szCs w:val="24"/>
        </w:rPr>
        <w:t>. Ezt a célt fejleszteni kell, szükséges lesz a Hajó mellett kikötési lehetőséget, üzemanyag-feltöltési lehetőséget is bi</w:t>
      </w:r>
      <w:r w:rsidR="00475063">
        <w:rPr>
          <w:sz w:val="24"/>
          <w:szCs w:val="24"/>
        </w:rPr>
        <w:t>ztosítani az ide kirándulóknak, illetve komplex turisztikai szolgáltatások összeállít</w:t>
      </w:r>
      <w:r w:rsidR="00DA1FCC">
        <w:rPr>
          <w:sz w:val="24"/>
          <w:szCs w:val="24"/>
        </w:rPr>
        <w:t xml:space="preserve">ása elmaradhatatlan. Erre a célra mintegy </w:t>
      </w:r>
      <w:r w:rsidR="00475063">
        <w:rPr>
          <w:sz w:val="24"/>
          <w:szCs w:val="24"/>
        </w:rPr>
        <w:t>180.000.000 Ft</w:t>
      </w:r>
      <w:r w:rsidR="00DA1FCC">
        <w:rPr>
          <w:sz w:val="24"/>
          <w:szCs w:val="24"/>
        </w:rPr>
        <w:t>-ra lenne szükség, mely önerőből nem lehetséges, meg kell ragadni majd minden pályázati lehetőséget.</w:t>
      </w:r>
    </w:p>
    <w:p w14:paraId="35C4DC1A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5C3CAFB4" w14:textId="7444F5DB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Kulcs és Rácalmás között kerékpárutat kívánunk létesíteni, hogy kerékpáron tudják az egészséges életmódot kedvelők akár Dunaújvárost is elérni. </w:t>
      </w:r>
      <w:r w:rsidR="00DA1FCC">
        <w:rPr>
          <w:sz w:val="24"/>
          <w:szCs w:val="24"/>
        </w:rPr>
        <w:t xml:space="preserve">Ennek várható költsége </w:t>
      </w:r>
      <w:r w:rsidR="00475063">
        <w:rPr>
          <w:sz w:val="24"/>
          <w:szCs w:val="24"/>
        </w:rPr>
        <w:t>30.000.000 Ft</w:t>
      </w:r>
      <w:r w:rsidR="00DA1FCC">
        <w:rPr>
          <w:sz w:val="24"/>
          <w:szCs w:val="24"/>
        </w:rPr>
        <w:t>.</w:t>
      </w:r>
    </w:p>
    <w:p w14:paraId="1F2D7990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2E9D55BE" w14:textId="19AF7BF1" w:rsidR="002675E5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Évek óta megoldatlan a kulcsi Sporttelep </w:t>
      </w:r>
      <w:r w:rsidR="00DA1FCC">
        <w:rPr>
          <w:sz w:val="24"/>
          <w:szCs w:val="24"/>
        </w:rPr>
        <w:t xml:space="preserve">egy részének a </w:t>
      </w:r>
      <w:r w:rsidRPr="005047C4">
        <w:rPr>
          <w:sz w:val="24"/>
          <w:szCs w:val="24"/>
        </w:rPr>
        <w:t>tulajdonjog</w:t>
      </w:r>
      <w:r w:rsidR="00DA1FCC">
        <w:rPr>
          <w:sz w:val="24"/>
          <w:szCs w:val="24"/>
        </w:rPr>
        <w:t xml:space="preserve">a </w:t>
      </w:r>
      <w:r w:rsidRPr="005047C4">
        <w:rPr>
          <w:sz w:val="24"/>
          <w:szCs w:val="24"/>
        </w:rPr>
        <w:t>megszerzése. A Sportpály</w:t>
      </w:r>
      <w:r w:rsidR="00DA1FCC">
        <w:rPr>
          <w:sz w:val="24"/>
          <w:szCs w:val="24"/>
        </w:rPr>
        <w:t>a mellett egy jelentős ingatlanrész a</w:t>
      </w:r>
      <w:r w:rsidRPr="005047C4">
        <w:rPr>
          <w:sz w:val="24"/>
          <w:szCs w:val="24"/>
        </w:rPr>
        <w:t xml:space="preserve"> hozzá tartozó épületekkel </w:t>
      </w:r>
      <w:r w:rsidR="00DA1FCC">
        <w:rPr>
          <w:sz w:val="24"/>
          <w:szCs w:val="24"/>
        </w:rPr>
        <w:t xml:space="preserve">a Pálhalmai </w:t>
      </w:r>
      <w:proofErr w:type="spellStart"/>
      <w:r w:rsidR="00DA1FCC">
        <w:rPr>
          <w:sz w:val="24"/>
          <w:szCs w:val="24"/>
        </w:rPr>
        <w:t>Agrospeciál</w:t>
      </w:r>
      <w:proofErr w:type="spellEnd"/>
      <w:r w:rsidR="00DA1FCC">
        <w:rPr>
          <w:sz w:val="24"/>
          <w:szCs w:val="24"/>
        </w:rPr>
        <w:t xml:space="preserve"> Kft. tulajdona. </w:t>
      </w:r>
      <w:r w:rsidRPr="005047C4">
        <w:rPr>
          <w:sz w:val="24"/>
          <w:szCs w:val="24"/>
        </w:rPr>
        <w:t xml:space="preserve">Ahhoz, hogy a szükséges fejlesztésekhez pályázni tudjunk, szükséges az, hogy </w:t>
      </w:r>
      <w:r w:rsidR="00DA1FCC">
        <w:rPr>
          <w:sz w:val="24"/>
          <w:szCs w:val="24"/>
        </w:rPr>
        <w:t xml:space="preserve">ez </w:t>
      </w:r>
      <w:r w:rsidRPr="005047C4">
        <w:rPr>
          <w:sz w:val="24"/>
          <w:szCs w:val="24"/>
        </w:rPr>
        <w:t xml:space="preserve">az ingatlan </w:t>
      </w:r>
      <w:r w:rsidR="00DA1FCC">
        <w:rPr>
          <w:sz w:val="24"/>
          <w:szCs w:val="24"/>
        </w:rPr>
        <w:t xml:space="preserve">is </w:t>
      </w:r>
      <w:r w:rsidRPr="005047C4">
        <w:rPr>
          <w:sz w:val="24"/>
          <w:szCs w:val="24"/>
        </w:rPr>
        <w:t xml:space="preserve">a saját tulajdona legyen az Önkormányzatnak, ezért ebben a ciklusban azt meg szeretnénk vásárolni a Pálhalmai </w:t>
      </w:r>
      <w:proofErr w:type="spellStart"/>
      <w:r w:rsidRPr="005047C4">
        <w:rPr>
          <w:sz w:val="24"/>
          <w:szCs w:val="24"/>
        </w:rPr>
        <w:t>Agrospeciál</w:t>
      </w:r>
      <w:proofErr w:type="spellEnd"/>
      <w:r w:rsidRPr="005047C4">
        <w:rPr>
          <w:sz w:val="24"/>
          <w:szCs w:val="24"/>
        </w:rPr>
        <w:t xml:space="preserve"> Kft-</w:t>
      </w:r>
      <w:proofErr w:type="spellStart"/>
      <w:r w:rsidRPr="005047C4">
        <w:rPr>
          <w:sz w:val="24"/>
          <w:szCs w:val="24"/>
        </w:rPr>
        <w:t>től</w:t>
      </w:r>
      <w:proofErr w:type="spellEnd"/>
      <w:r w:rsidRPr="005047C4">
        <w:rPr>
          <w:sz w:val="24"/>
          <w:szCs w:val="24"/>
        </w:rPr>
        <w:t>.</w:t>
      </w:r>
      <w:r w:rsidR="00836844">
        <w:rPr>
          <w:sz w:val="24"/>
          <w:szCs w:val="24"/>
        </w:rPr>
        <w:t xml:space="preserve"> </w:t>
      </w:r>
      <w:r w:rsidR="00DA1FCC">
        <w:rPr>
          <w:sz w:val="24"/>
          <w:szCs w:val="24"/>
        </w:rPr>
        <w:t>Ennek várható költsége</w:t>
      </w:r>
      <w:r w:rsidR="00836844">
        <w:rPr>
          <w:sz w:val="24"/>
          <w:szCs w:val="24"/>
        </w:rPr>
        <w:t xml:space="preserve"> 100.</w:t>
      </w:r>
      <w:r w:rsidR="0048065D">
        <w:rPr>
          <w:sz w:val="24"/>
          <w:szCs w:val="24"/>
        </w:rPr>
        <w:t>000.000 Ft</w:t>
      </w:r>
      <w:r w:rsidR="00DA1FCC">
        <w:rPr>
          <w:sz w:val="24"/>
          <w:szCs w:val="24"/>
        </w:rPr>
        <w:t>.</w:t>
      </w:r>
    </w:p>
    <w:p w14:paraId="224F7E62" w14:textId="5EB0343D" w:rsidR="0048065D" w:rsidRDefault="0048065D" w:rsidP="002675E5">
      <w:pPr>
        <w:jc w:val="both"/>
        <w:rPr>
          <w:sz w:val="24"/>
          <w:szCs w:val="24"/>
        </w:rPr>
      </w:pPr>
    </w:p>
    <w:p w14:paraId="28D102AB" w14:textId="7C329B72" w:rsidR="0048065D" w:rsidRDefault="0048065D" w:rsidP="002675E5">
      <w:pPr>
        <w:jc w:val="both"/>
        <w:rPr>
          <w:sz w:val="24"/>
          <w:szCs w:val="24"/>
        </w:rPr>
      </w:pPr>
      <w:r>
        <w:rPr>
          <w:sz w:val="24"/>
          <w:szCs w:val="24"/>
        </w:rPr>
        <w:t>A településen a nagy infrastruktúra beruházásokat követően, szakaszosan, a közterületek parkosítására is szükség van. A jelenlegi ciklusban, mintegy évi 2.000.000 Ft-ot szándékozunk ezen tevékenységekre fordítani, melyet részben saját, részben pedig pályázati forrásból kívánunk biztosítani.</w:t>
      </w:r>
    </w:p>
    <w:p w14:paraId="3C826EE2" w14:textId="72E4A15A" w:rsidR="00DA1FCC" w:rsidRDefault="00DA1FCC" w:rsidP="002675E5">
      <w:pPr>
        <w:jc w:val="both"/>
        <w:rPr>
          <w:sz w:val="24"/>
          <w:szCs w:val="24"/>
        </w:rPr>
      </w:pPr>
    </w:p>
    <w:p w14:paraId="480EDDF3" w14:textId="77777777" w:rsidR="00DA1FCC" w:rsidRPr="005047C4" w:rsidRDefault="00DA1FCC" w:rsidP="002675E5">
      <w:pPr>
        <w:jc w:val="both"/>
        <w:rPr>
          <w:sz w:val="24"/>
          <w:szCs w:val="24"/>
        </w:rPr>
      </w:pPr>
    </w:p>
    <w:p w14:paraId="64EF17FD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43782711" w14:textId="77777777" w:rsidR="002675E5" w:rsidRPr="005047C4" w:rsidRDefault="002675E5" w:rsidP="002675E5">
      <w:pPr>
        <w:jc w:val="both"/>
        <w:rPr>
          <w:sz w:val="24"/>
          <w:szCs w:val="24"/>
          <w:u w:val="single"/>
        </w:rPr>
      </w:pPr>
      <w:r w:rsidRPr="005047C4">
        <w:rPr>
          <w:sz w:val="24"/>
          <w:szCs w:val="24"/>
          <w:u w:val="single"/>
        </w:rPr>
        <w:lastRenderedPageBreak/>
        <w:t>Civil szervezetek</w:t>
      </w:r>
    </w:p>
    <w:p w14:paraId="737F8F10" w14:textId="77777777" w:rsidR="002675E5" w:rsidRPr="005047C4" w:rsidRDefault="002675E5" w:rsidP="002675E5">
      <w:pPr>
        <w:jc w:val="both"/>
        <w:rPr>
          <w:sz w:val="24"/>
          <w:szCs w:val="24"/>
          <w:u w:val="single"/>
        </w:rPr>
      </w:pPr>
    </w:p>
    <w:p w14:paraId="7FA05B7C" w14:textId="0159B9DC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 xml:space="preserve">Önkormányzatunk ezután is támogatja a községben élő és működő közösségi szervezeteket. Önkormányzati támogatásként </w:t>
      </w:r>
      <w:r w:rsidR="00475063">
        <w:rPr>
          <w:sz w:val="24"/>
          <w:szCs w:val="24"/>
        </w:rPr>
        <w:t xml:space="preserve">2.000.000 Ft-ot tudunk </w:t>
      </w:r>
      <w:r w:rsidR="00DA1FCC">
        <w:rPr>
          <w:sz w:val="24"/>
          <w:szCs w:val="24"/>
        </w:rPr>
        <w:t xml:space="preserve">erre a célra évente a költségvetésünkben </w:t>
      </w:r>
      <w:r w:rsidR="00475063">
        <w:rPr>
          <w:sz w:val="24"/>
          <w:szCs w:val="24"/>
        </w:rPr>
        <w:t>elkülöníteni.</w:t>
      </w:r>
    </w:p>
    <w:p w14:paraId="45E29BDB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21820B7C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14FF4F3E" w14:textId="77777777" w:rsidR="002675E5" w:rsidRPr="005047C4" w:rsidRDefault="002675E5" w:rsidP="002675E5">
      <w:pPr>
        <w:jc w:val="both"/>
        <w:rPr>
          <w:sz w:val="24"/>
          <w:szCs w:val="24"/>
          <w:u w:val="single"/>
        </w:rPr>
      </w:pPr>
      <w:r w:rsidRPr="005047C4">
        <w:rPr>
          <w:sz w:val="24"/>
          <w:szCs w:val="24"/>
          <w:u w:val="single"/>
        </w:rPr>
        <w:t>Pályázatok</w:t>
      </w:r>
    </w:p>
    <w:p w14:paraId="218FC408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23603DD3" w14:textId="77777777" w:rsidR="002675E5" w:rsidRPr="005047C4" w:rsidRDefault="00475063" w:rsidP="002675E5">
      <w:pPr>
        <w:jc w:val="both"/>
        <w:rPr>
          <w:sz w:val="24"/>
          <w:szCs w:val="24"/>
        </w:rPr>
      </w:pPr>
      <w:r>
        <w:rPr>
          <w:sz w:val="24"/>
          <w:szCs w:val="24"/>
        </w:rPr>
        <w:t>A 2019-2024</w:t>
      </w:r>
      <w:r w:rsidR="002675E5" w:rsidRPr="005047C4">
        <w:rPr>
          <w:sz w:val="24"/>
          <w:szCs w:val="24"/>
        </w:rPr>
        <w:t xml:space="preserve"> közötti ciklusban is nagy hangsúlyt kívánunk fektetni a hazai és Európai Uniós pályázati lehetőségek kihasználására. Ehhez nagy figyel</w:t>
      </w:r>
      <w:r>
        <w:rPr>
          <w:sz w:val="24"/>
          <w:szCs w:val="24"/>
        </w:rPr>
        <w:t>met kell fordítani</w:t>
      </w:r>
      <w:r w:rsidR="002675E5" w:rsidRPr="005047C4">
        <w:rPr>
          <w:sz w:val="24"/>
          <w:szCs w:val="24"/>
        </w:rPr>
        <w:t xml:space="preserve"> a szükséges előkészítő tervezési és engedélyeztetési eljárásokra. A költségvetés tervezésénél a pályázati önerő biztosítására is ki kell térni. </w:t>
      </w:r>
    </w:p>
    <w:p w14:paraId="3E30961A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68FB441A" w14:textId="77777777" w:rsidR="002675E5" w:rsidRPr="005047C4" w:rsidRDefault="00475063" w:rsidP="002675E5">
      <w:pPr>
        <w:jc w:val="both"/>
        <w:rPr>
          <w:sz w:val="24"/>
          <w:szCs w:val="24"/>
        </w:rPr>
      </w:pPr>
      <w:r>
        <w:rPr>
          <w:sz w:val="24"/>
          <w:szCs w:val="24"/>
        </w:rPr>
        <w:t>Kulcs, 2020</w:t>
      </w:r>
      <w:r w:rsidR="002675E5" w:rsidRPr="005047C4">
        <w:rPr>
          <w:sz w:val="24"/>
          <w:szCs w:val="24"/>
        </w:rPr>
        <w:t xml:space="preserve">. </w:t>
      </w:r>
      <w:r>
        <w:rPr>
          <w:sz w:val="24"/>
          <w:szCs w:val="24"/>
        </w:rPr>
        <w:t>április</w:t>
      </w:r>
      <w:r w:rsidR="002675E5" w:rsidRPr="005047C4">
        <w:rPr>
          <w:sz w:val="24"/>
          <w:szCs w:val="24"/>
        </w:rPr>
        <w:t xml:space="preserve"> 8.</w:t>
      </w:r>
    </w:p>
    <w:p w14:paraId="0A707F6D" w14:textId="77777777" w:rsidR="002675E5" w:rsidRPr="005047C4" w:rsidRDefault="002675E5" w:rsidP="002675E5">
      <w:pPr>
        <w:jc w:val="both"/>
        <w:rPr>
          <w:sz w:val="24"/>
          <w:szCs w:val="24"/>
        </w:rPr>
      </w:pPr>
    </w:p>
    <w:p w14:paraId="18D5343E" w14:textId="6A3BDDEC" w:rsidR="002675E5" w:rsidRDefault="002675E5" w:rsidP="002675E5">
      <w:pPr>
        <w:jc w:val="both"/>
        <w:rPr>
          <w:sz w:val="24"/>
          <w:szCs w:val="24"/>
        </w:rPr>
      </w:pPr>
    </w:p>
    <w:p w14:paraId="15BD9F00" w14:textId="26897009" w:rsidR="00DA1FCC" w:rsidRDefault="00DA1FCC" w:rsidP="002675E5">
      <w:pPr>
        <w:jc w:val="both"/>
        <w:rPr>
          <w:sz w:val="24"/>
          <w:szCs w:val="24"/>
        </w:rPr>
      </w:pPr>
    </w:p>
    <w:p w14:paraId="019BC31E" w14:textId="4F991211" w:rsidR="00DA1FCC" w:rsidRDefault="00DA1FCC" w:rsidP="002675E5">
      <w:pPr>
        <w:jc w:val="both"/>
        <w:rPr>
          <w:sz w:val="24"/>
          <w:szCs w:val="24"/>
        </w:rPr>
      </w:pPr>
    </w:p>
    <w:p w14:paraId="3E56EA8C" w14:textId="77777777" w:rsidR="00DA1FCC" w:rsidRPr="005047C4" w:rsidRDefault="00DA1FCC" w:rsidP="002675E5">
      <w:pPr>
        <w:jc w:val="both"/>
        <w:rPr>
          <w:sz w:val="24"/>
          <w:szCs w:val="24"/>
        </w:rPr>
      </w:pPr>
    </w:p>
    <w:p w14:paraId="4641F87A" w14:textId="77777777" w:rsidR="002675E5" w:rsidRPr="005047C4" w:rsidRDefault="002675E5" w:rsidP="002675E5">
      <w:pPr>
        <w:jc w:val="both"/>
        <w:rPr>
          <w:sz w:val="24"/>
          <w:szCs w:val="24"/>
        </w:rPr>
      </w:pPr>
      <w:r w:rsidRPr="005047C4">
        <w:rPr>
          <w:sz w:val="24"/>
          <w:szCs w:val="24"/>
        </w:rPr>
        <w:tab/>
      </w:r>
      <w:r w:rsidRPr="005047C4">
        <w:rPr>
          <w:sz w:val="24"/>
          <w:szCs w:val="24"/>
        </w:rPr>
        <w:tab/>
      </w:r>
      <w:r w:rsidRPr="005047C4">
        <w:rPr>
          <w:sz w:val="24"/>
          <w:szCs w:val="24"/>
        </w:rPr>
        <w:tab/>
      </w:r>
      <w:r w:rsidRPr="005047C4">
        <w:rPr>
          <w:sz w:val="24"/>
          <w:szCs w:val="24"/>
        </w:rPr>
        <w:tab/>
      </w:r>
      <w:r w:rsidRPr="005047C4">
        <w:rPr>
          <w:sz w:val="24"/>
          <w:szCs w:val="24"/>
        </w:rPr>
        <w:tab/>
      </w:r>
      <w:r w:rsidRPr="005047C4">
        <w:rPr>
          <w:sz w:val="24"/>
          <w:szCs w:val="24"/>
        </w:rPr>
        <w:tab/>
      </w:r>
      <w:r w:rsidRPr="005047C4">
        <w:rPr>
          <w:sz w:val="24"/>
          <w:szCs w:val="24"/>
        </w:rPr>
        <w:tab/>
      </w:r>
      <w:r w:rsidR="00475063">
        <w:rPr>
          <w:sz w:val="24"/>
          <w:szCs w:val="24"/>
        </w:rPr>
        <w:t>Jobb Gyula</w:t>
      </w:r>
      <w:r w:rsidRPr="005047C4">
        <w:rPr>
          <w:sz w:val="24"/>
          <w:szCs w:val="24"/>
        </w:rPr>
        <w:t xml:space="preserve"> </w:t>
      </w:r>
    </w:p>
    <w:p w14:paraId="6BE644DF" w14:textId="77777777" w:rsidR="002675E5" w:rsidRDefault="00836844" w:rsidP="002675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Polgármester</w:t>
      </w:r>
    </w:p>
    <w:p w14:paraId="7BED1612" w14:textId="77777777" w:rsidR="00836844" w:rsidRDefault="00836844">
      <w:pPr>
        <w:suppressAutoHyphens w:val="0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74A281" w14:textId="77777777" w:rsidR="00836844" w:rsidRDefault="00836844" w:rsidP="00836844">
      <w:pPr>
        <w:pStyle w:val="Listaszerbekezds"/>
        <w:numPr>
          <w:ilvl w:val="0"/>
          <w:numId w:val="1"/>
        </w:numPr>
        <w:jc w:val="both"/>
        <w:rPr>
          <w:sz w:val="24"/>
          <w:szCs w:val="24"/>
        </w:rPr>
        <w:sectPr w:rsidR="0083684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8B1359" w14:textId="77777777" w:rsidR="00836844" w:rsidRDefault="00836844" w:rsidP="00DA1FCC">
      <w:pPr>
        <w:pStyle w:val="Listaszerbekezds"/>
        <w:numPr>
          <w:ilvl w:val="0"/>
          <w:numId w:val="1"/>
        </w:num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Melléklet</w:t>
      </w:r>
    </w:p>
    <w:p w14:paraId="2C71E0B3" w14:textId="77777777" w:rsidR="00836844" w:rsidRDefault="00836844" w:rsidP="00836844">
      <w:pPr>
        <w:jc w:val="both"/>
        <w:rPr>
          <w:sz w:val="24"/>
          <w:szCs w:val="24"/>
        </w:rPr>
      </w:pPr>
    </w:p>
    <w:p w14:paraId="27C602AE" w14:textId="6C145750" w:rsidR="00836844" w:rsidRPr="00836844" w:rsidRDefault="004F0F9B" w:rsidP="00DA1F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Támogatott,</w:t>
      </w:r>
      <w:r w:rsidR="00836844" w:rsidRPr="00836844">
        <w:rPr>
          <w:b/>
          <w:sz w:val="24"/>
          <w:szCs w:val="24"/>
        </w:rPr>
        <w:t xml:space="preserve"> megvalósítás alatt lévő projektek</w:t>
      </w:r>
    </w:p>
    <w:p w14:paraId="72619AE9" w14:textId="77777777" w:rsidR="00836844" w:rsidRDefault="00836844" w:rsidP="00836844">
      <w:pPr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601"/>
        <w:gridCol w:w="3730"/>
        <w:gridCol w:w="2553"/>
        <w:gridCol w:w="1485"/>
        <w:gridCol w:w="2424"/>
      </w:tblGrid>
      <w:tr w:rsidR="00836844" w:rsidRPr="00836844" w14:paraId="7A147700" w14:textId="77777777" w:rsidTr="00660B9C">
        <w:trPr>
          <w:trHeight w:val="900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0C459" w14:textId="77777777" w:rsidR="00836844" w:rsidRPr="00836844" w:rsidRDefault="00836844" w:rsidP="00836844">
            <w:pPr>
              <w:suppressAutoHyphens w:val="0"/>
              <w:jc w:val="center"/>
              <w:rPr>
                <w:b/>
                <w:bCs/>
                <w:color w:val="000000"/>
                <w:lang w:eastAsia="hu-HU"/>
              </w:rPr>
            </w:pPr>
            <w:r w:rsidRPr="00836844">
              <w:rPr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94CCB" w14:textId="77777777" w:rsidR="00836844" w:rsidRPr="00836844" w:rsidRDefault="00836844" w:rsidP="00836844">
            <w:pPr>
              <w:suppressAutoHyphens w:val="0"/>
              <w:jc w:val="center"/>
              <w:rPr>
                <w:b/>
                <w:bCs/>
                <w:color w:val="000000"/>
                <w:lang w:eastAsia="hu-HU"/>
              </w:rPr>
            </w:pPr>
            <w:r w:rsidRPr="00836844">
              <w:rPr>
                <w:b/>
                <w:bCs/>
                <w:color w:val="000000"/>
                <w:lang w:eastAsia="hu-HU"/>
              </w:rPr>
              <w:t>Támogatási kérelem azonosítója</w:t>
            </w:r>
          </w:p>
        </w:tc>
        <w:tc>
          <w:tcPr>
            <w:tcW w:w="133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3E602" w14:textId="77777777" w:rsidR="00836844" w:rsidRPr="00836844" w:rsidRDefault="00836844" w:rsidP="00836844">
            <w:pPr>
              <w:suppressAutoHyphens w:val="0"/>
              <w:jc w:val="center"/>
              <w:rPr>
                <w:b/>
                <w:bCs/>
                <w:color w:val="000000"/>
                <w:lang w:eastAsia="hu-HU"/>
              </w:rPr>
            </w:pPr>
            <w:r w:rsidRPr="00836844">
              <w:rPr>
                <w:b/>
                <w:bCs/>
                <w:color w:val="000000"/>
                <w:lang w:eastAsia="hu-HU"/>
              </w:rPr>
              <w:t>Projekt címe/rövid tartalma</w:t>
            </w:r>
          </w:p>
        </w:tc>
        <w:tc>
          <w:tcPr>
            <w:tcW w:w="91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BA189" w14:textId="77777777" w:rsidR="00836844" w:rsidRPr="00836844" w:rsidRDefault="00836844" w:rsidP="00836844">
            <w:pPr>
              <w:suppressAutoHyphens w:val="0"/>
              <w:jc w:val="center"/>
              <w:rPr>
                <w:b/>
                <w:bCs/>
                <w:color w:val="000000"/>
                <w:lang w:eastAsia="hu-HU"/>
              </w:rPr>
            </w:pPr>
            <w:r w:rsidRPr="00836844">
              <w:rPr>
                <w:b/>
                <w:bCs/>
                <w:color w:val="000000"/>
                <w:lang w:eastAsia="hu-HU"/>
              </w:rPr>
              <w:t>Projekt összköltsége (Ft)</w:t>
            </w:r>
          </w:p>
        </w:tc>
        <w:tc>
          <w:tcPr>
            <w:tcW w:w="53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D131" w14:textId="77777777" w:rsidR="00836844" w:rsidRPr="00836844" w:rsidRDefault="00836844" w:rsidP="00836844">
            <w:pPr>
              <w:suppressAutoHyphens w:val="0"/>
              <w:jc w:val="center"/>
              <w:rPr>
                <w:b/>
                <w:bCs/>
                <w:color w:val="000000"/>
                <w:lang w:eastAsia="hu-HU"/>
              </w:rPr>
            </w:pPr>
            <w:r w:rsidRPr="00836844">
              <w:rPr>
                <w:b/>
                <w:bCs/>
                <w:color w:val="000000"/>
                <w:lang w:eastAsia="hu-HU"/>
              </w:rPr>
              <w:t>Támogatási intenzitás</w:t>
            </w:r>
          </w:p>
        </w:tc>
        <w:tc>
          <w:tcPr>
            <w:tcW w:w="8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64F7E" w14:textId="77777777" w:rsidR="00836844" w:rsidRPr="00836844" w:rsidRDefault="00836844" w:rsidP="00836844">
            <w:pPr>
              <w:suppressAutoHyphens w:val="0"/>
              <w:jc w:val="center"/>
              <w:rPr>
                <w:b/>
                <w:bCs/>
                <w:color w:val="000000"/>
                <w:lang w:eastAsia="hu-HU"/>
              </w:rPr>
            </w:pPr>
            <w:r w:rsidRPr="00836844">
              <w:rPr>
                <w:b/>
                <w:bCs/>
                <w:color w:val="000000"/>
                <w:lang w:eastAsia="hu-HU"/>
              </w:rPr>
              <w:t>Támogatási igény (Ft)</w:t>
            </w:r>
          </w:p>
        </w:tc>
      </w:tr>
      <w:tr w:rsidR="00836844" w:rsidRPr="00836844" w14:paraId="4037351A" w14:textId="77777777" w:rsidTr="00660B9C">
        <w:trPr>
          <w:trHeight w:val="900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404B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1.</w:t>
            </w:r>
          </w:p>
        </w:tc>
        <w:tc>
          <w:tcPr>
            <w:tcW w:w="93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D82D9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KEHOP-2.2.2-15-2015-00044</w:t>
            </w:r>
          </w:p>
        </w:tc>
        <w:tc>
          <w:tcPr>
            <w:tcW w:w="133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16D37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A Dunaújvárosi Szennyvíz Agglomeráció csatornázása és csatorna Hálózat Fejlesztése</w:t>
            </w:r>
          </w:p>
        </w:tc>
        <w:tc>
          <w:tcPr>
            <w:tcW w:w="91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79B2B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2 066 704 973</w:t>
            </w:r>
          </w:p>
        </w:tc>
        <w:tc>
          <w:tcPr>
            <w:tcW w:w="5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87F57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95+5%</w:t>
            </w:r>
          </w:p>
        </w:tc>
        <w:tc>
          <w:tcPr>
            <w:tcW w:w="86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9E15A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2 066 704 973</w:t>
            </w:r>
          </w:p>
        </w:tc>
      </w:tr>
      <w:tr w:rsidR="00836844" w:rsidRPr="00836844" w14:paraId="297F6C5A" w14:textId="77777777" w:rsidTr="00660B9C">
        <w:trPr>
          <w:trHeight w:val="900"/>
        </w:trPr>
        <w:tc>
          <w:tcPr>
            <w:tcW w:w="425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D0695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2.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23754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TOP-3.2.2-15-FE1-2016-00005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16A01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Szilárd biomassza alapú fűtőmű és kapcsolódó hőrendszer létesítése Kulcson.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C960E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189 183 500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944B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100%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C8BB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189 183 500</w:t>
            </w:r>
          </w:p>
        </w:tc>
      </w:tr>
      <w:tr w:rsidR="00836844" w:rsidRPr="00836844" w14:paraId="64E330DD" w14:textId="77777777" w:rsidTr="00660B9C">
        <w:trPr>
          <w:trHeight w:val="1680"/>
        </w:trPr>
        <w:tc>
          <w:tcPr>
            <w:tcW w:w="42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C77F0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3.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1F15B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EFOP-1.5.2-16-2017-00004</w:t>
            </w:r>
          </w:p>
        </w:tc>
        <w:tc>
          <w:tcPr>
            <w:tcW w:w="13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E841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Humán szolgáltatások fejlesztése Kulcson, Beloianniszban, Besnyőn, Iváncsán és Kisapostagon térségi szemléletben</w:t>
            </w:r>
          </w:p>
        </w:tc>
        <w:tc>
          <w:tcPr>
            <w:tcW w:w="9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EE84B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247 636 098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2678C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100%</w:t>
            </w:r>
          </w:p>
        </w:tc>
        <w:tc>
          <w:tcPr>
            <w:tcW w:w="8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B720D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247 636 098</w:t>
            </w:r>
          </w:p>
        </w:tc>
      </w:tr>
      <w:tr w:rsidR="00836844" w:rsidRPr="00836844" w14:paraId="5463986E" w14:textId="77777777" w:rsidTr="00660B9C">
        <w:trPr>
          <w:trHeight w:val="1590"/>
        </w:trPr>
        <w:tc>
          <w:tcPr>
            <w:tcW w:w="42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68DCF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4.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B4440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TOP-5.3.1-16-FE1-2017-00001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5FD15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A helyi identitás és kohézió erősítése Adony térségében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ABA17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38 557 400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1C552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100%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BA0C6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38 557 400</w:t>
            </w:r>
          </w:p>
        </w:tc>
      </w:tr>
      <w:tr w:rsidR="00836844" w:rsidRPr="00836844" w14:paraId="44DE5541" w14:textId="77777777" w:rsidTr="00660B9C">
        <w:trPr>
          <w:trHeight w:val="900"/>
        </w:trPr>
        <w:tc>
          <w:tcPr>
            <w:tcW w:w="42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9F43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5.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98504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INEA/CEF/WiFiEU4/1-2018/021175-026219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09C5A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 xml:space="preserve">WIFI4EU – Ingyenes wifi </w:t>
            </w:r>
            <w:proofErr w:type="spellStart"/>
            <w:r w:rsidRPr="00836844">
              <w:rPr>
                <w:color w:val="000000"/>
                <w:lang w:eastAsia="hu-HU"/>
              </w:rPr>
              <w:t>hotspot</w:t>
            </w:r>
            <w:proofErr w:type="spellEnd"/>
            <w:r w:rsidRPr="00836844">
              <w:rPr>
                <w:color w:val="000000"/>
                <w:lang w:eastAsia="hu-HU"/>
              </w:rPr>
              <w:t xml:space="preserve"> hálózat kiépítése (10 db </w:t>
            </w:r>
            <w:proofErr w:type="spellStart"/>
            <w:r w:rsidRPr="00836844">
              <w:rPr>
                <w:color w:val="000000"/>
                <w:lang w:eastAsia="hu-HU"/>
              </w:rPr>
              <w:t>hotspot</w:t>
            </w:r>
            <w:proofErr w:type="spellEnd"/>
            <w:r w:rsidRPr="00836844">
              <w:rPr>
                <w:color w:val="000000"/>
                <w:lang w:eastAsia="hu-HU"/>
              </w:rPr>
              <w:t xml:space="preserve"> ponttal)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B27DA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 xml:space="preserve">15 000 Euro </w:t>
            </w:r>
            <w:proofErr w:type="spellStart"/>
            <w:r w:rsidRPr="00836844">
              <w:rPr>
                <w:color w:val="000000"/>
                <w:lang w:eastAsia="hu-HU"/>
              </w:rPr>
              <w:t>Voucher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4930A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100%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9ACFD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 xml:space="preserve">15 000 Euro </w:t>
            </w:r>
            <w:proofErr w:type="spellStart"/>
            <w:r w:rsidRPr="00836844">
              <w:rPr>
                <w:color w:val="000000"/>
                <w:lang w:eastAsia="hu-HU"/>
              </w:rPr>
              <w:t>Voucher</w:t>
            </w:r>
            <w:proofErr w:type="spellEnd"/>
          </w:p>
        </w:tc>
      </w:tr>
      <w:tr w:rsidR="00836844" w:rsidRPr="00836844" w14:paraId="5FB6D54A" w14:textId="77777777" w:rsidTr="00660B9C">
        <w:trPr>
          <w:trHeight w:val="2400"/>
        </w:trPr>
        <w:tc>
          <w:tcPr>
            <w:tcW w:w="425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9754F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lastRenderedPageBreak/>
              <w:t>6.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6113E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TOP-4.1.1-15-FE1-2016-00038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0648C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Az egészségügyi alapellátó-rendszer komplex infrastrukturális fejlesztése Kulcson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E0D6E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100 000 000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5DBC7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100%</w:t>
            </w:r>
          </w:p>
        </w:tc>
        <w:tc>
          <w:tcPr>
            <w:tcW w:w="86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D1838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100 000 000</w:t>
            </w:r>
          </w:p>
        </w:tc>
      </w:tr>
      <w:tr w:rsidR="00836844" w:rsidRPr="00836844" w14:paraId="45FE7A80" w14:textId="77777777" w:rsidTr="00660B9C">
        <w:trPr>
          <w:trHeight w:val="2400"/>
        </w:trPr>
        <w:tc>
          <w:tcPr>
            <w:tcW w:w="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E9E28" w14:textId="6C0AE046" w:rsidR="00836844" w:rsidRPr="00836844" w:rsidRDefault="00DA1FCC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7</w:t>
            </w:r>
            <w:r w:rsidR="00836844" w:rsidRPr="00836844">
              <w:rPr>
                <w:color w:val="000000"/>
                <w:lang w:eastAsia="hu-HU"/>
              </w:rPr>
              <w:t>.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2C50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1936273663</w:t>
            </w:r>
          </w:p>
        </w:tc>
        <w:tc>
          <w:tcPr>
            <w:tcW w:w="133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ED35B" w14:textId="612D162F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proofErr w:type="spellStart"/>
            <w:r w:rsidRPr="00836844">
              <w:rPr>
                <w:color w:val="000000"/>
                <w:lang w:eastAsia="hu-HU"/>
              </w:rPr>
              <w:t>Leader</w:t>
            </w:r>
            <w:proofErr w:type="spellEnd"/>
            <w:r w:rsidR="002E4C83">
              <w:rPr>
                <w:color w:val="000000"/>
                <w:lang w:eastAsia="hu-HU"/>
              </w:rPr>
              <w:t xml:space="preserve"> 2</w:t>
            </w:r>
            <w:r w:rsidRPr="00836844">
              <w:rPr>
                <w:color w:val="000000"/>
                <w:lang w:eastAsia="hu-HU"/>
              </w:rPr>
              <w:t xml:space="preserve">: A közösségi szolgáltatások elérhetőségének javítása a vidéki települések lakói </w:t>
            </w:r>
            <w:proofErr w:type="gramStart"/>
            <w:r w:rsidRPr="00836844">
              <w:rPr>
                <w:color w:val="000000"/>
                <w:lang w:eastAsia="hu-HU"/>
              </w:rPr>
              <w:t>számára  -</w:t>
            </w:r>
            <w:proofErr w:type="gramEnd"/>
            <w:r w:rsidRPr="00836844">
              <w:rPr>
                <w:color w:val="000000"/>
                <w:lang w:eastAsia="hu-HU"/>
              </w:rPr>
              <w:t xml:space="preserve"> Tematikus zöldfelületek és utcabútorok létesítésével a buszmegállók közösségi térré alakítása Kulcson.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F8D1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12 847 261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C2A97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100%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AB353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10 000 000</w:t>
            </w:r>
          </w:p>
        </w:tc>
      </w:tr>
      <w:tr w:rsidR="00836844" w:rsidRPr="00836844" w14:paraId="2ACC2BCC" w14:textId="77777777" w:rsidTr="00660B9C">
        <w:trPr>
          <w:trHeight w:val="1800"/>
        </w:trPr>
        <w:tc>
          <w:tcPr>
            <w:tcW w:w="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E6A60" w14:textId="6B11426D" w:rsidR="00836844" w:rsidRPr="00836844" w:rsidRDefault="00DA1FCC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8</w:t>
            </w:r>
            <w:r w:rsidR="00836844" w:rsidRPr="00836844">
              <w:rPr>
                <w:color w:val="000000"/>
                <w:lang w:eastAsia="hu-HU"/>
              </w:rPr>
              <w:t>.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3B19B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1953692278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13AC9" w14:textId="65D1B213" w:rsidR="00836844" w:rsidRPr="00836844" w:rsidRDefault="00836844" w:rsidP="00695009">
            <w:pPr>
              <w:suppressAutoHyphens w:val="0"/>
              <w:jc w:val="center"/>
              <w:rPr>
                <w:color w:val="000000"/>
                <w:lang w:eastAsia="hu-HU"/>
              </w:rPr>
            </w:pPr>
            <w:proofErr w:type="spellStart"/>
            <w:r w:rsidRPr="00836844">
              <w:rPr>
                <w:color w:val="000000"/>
                <w:lang w:eastAsia="hu-HU"/>
              </w:rPr>
              <w:t>Leader</w:t>
            </w:r>
            <w:proofErr w:type="spellEnd"/>
            <w:r w:rsidR="002E4C83">
              <w:rPr>
                <w:color w:val="000000"/>
                <w:lang w:eastAsia="hu-HU"/>
              </w:rPr>
              <w:t xml:space="preserve"> 3</w:t>
            </w:r>
            <w:r w:rsidRPr="00836844">
              <w:rPr>
                <w:color w:val="000000"/>
                <w:lang w:eastAsia="hu-HU"/>
              </w:rPr>
              <w:t>: Közösségi tér eszközfejlesztése Kulcson – NIVTEC típusú ko</w:t>
            </w:r>
            <w:r w:rsidR="00695009">
              <w:rPr>
                <w:color w:val="000000"/>
                <w:lang w:eastAsia="hu-HU"/>
              </w:rPr>
              <w:t>mplett mobil színpad beszerzése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902B1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12 524 956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919B1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80%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B6987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10 000 000</w:t>
            </w:r>
          </w:p>
        </w:tc>
      </w:tr>
      <w:tr w:rsidR="00836844" w:rsidRPr="00836844" w14:paraId="6CAB84EB" w14:textId="77777777" w:rsidTr="00660B9C">
        <w:trPr>
          <w:trHeight w:val="1500"/>
        </w:trPr>
        <w:tc>
          <w:tcPr>
            <w:tcW w:w="4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8FD15" w14:textId="69C2D422" w:rsidR="00836844" w:rsidRPr="00836844" w:rsidRDefault="00DA1FCC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9</w:t>
            </w:r>
            <w:r w:rsidR="00836844" w:rsidRPr="00836844">
              <w:rPr>
                <w:color w:val="000000"/>
                <w:lang w:eastAsia="hu-HU"/>
              </w:rPr>
              <w:t>.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215E0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1953781314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E06F9" w14:textId="6A9DB0CC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proofErr w:type="spellStart"/>
            <w:r w:rsidRPr="00836844">
              <w:rPr>
                <w:color w:val="000000"/>
                <w:lang w:eastAsia="hu-HU"/>
              </w:rPr>
              <w:t>Leader</w:t>
            </w:r>
            <w:proofErr w:type="spellEnd"/>
            <w:r w:rsidR="002E4C83">
              <w:rPr>
                <w:color w:val="000000"/>
                <w:lang w:eastAsia="hu-HU"/>
              </w:rPr>
              <w:t xml:space="preserve"> 4</w:t>
            </w:r>
            <w:r w:rsidRPr="00836844">
              <w:rPr>
                <w:color w:val="000000"/>
                <w:lang w:eastAsia="hu-HU"/>
              </w:rPr>
              <w:t>: Kulcs hagyományőrző rendezvényeinek támogatása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34B5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6 250 000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8CAB5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80%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5827C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5 000 000</w:t>
            </w:r>
          </w:p>
        </w:tc>
      </w:tr>
      <w:tr w:rsidR="00836844" w:rsidRPr="00836844" w14:paraId="5D0B5FC0" w14:textId="77777777" w:rsidTr="004F0F9B">
        <w:trPr>
          <w:trHeight w:val="1200"/>
        </w:trPr>
        <w:tc>
          <w:tcPr>
            <w:tcW w:w="4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71C37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lastRenderedPageBreak/>
              <w:t>11.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232BD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EBR442643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13E73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proofErr w:type="spellStart"/>
            <w:r w:rsidRPr="00836844">
              <w:rPr>
                <w:color w:val="000000"/>
                <w:lang w:eastAsia="hu-HU"/>
              </w:rPr>
              <w:t>Ök</w:t>
            </w:r>
            <w:proofErr w:type="spellEnd"/>
            <w:r w:rsidRPr="00836844">
              <w:rPr>
                <w:color w:val="000000"/>
                <w:lang w:eastAsia="hu-HU"/>
              </w:rPr>
              <w:t xml:space="preserve">-i feladatellátást szolgáló fejlesztések támogatása - Sportpálya felnőtt és </w:t>
            </w:r>
            <w:proofErr w:type="gramStart"/>
            <w:r w:rsidRPr="00836844">
              <w:rPr>
                <w:color w:val="000000"/>
                <w:lang w:eastAsia="hu-HU"/>
              </w:rPr>
              <w:t>gyermek játszótér</w:t>
            </w:r>
            <w:proofErr w:type="gramEnd"/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587B0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23 529 412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33079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85%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5B04" w14:textId="77777777" w:rsidR="00836844" w:rsidRPr="00836844" w:rsidRDefault="00836844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836844">
              <w:rPr>
                <w:color w:val="000000"/>
                <w:lang w:eastAsia="hu-HU"/>
              </w:rPr>
              <w:t>20 000 000</w:t>
            </w:r>
          </w:p>
        </w:tc>
      </w:tr>
      <w:tr w:rsidR="004F0F9B" w:rsidRPr="00836844" w14:paraId="63400EA9" w14:textId="77777777" w:rsidTr="004F0F9B">
        <w:trPr>
          <w:trHeight w:val="120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9467" w14:textId="063CB9CF" w:rsidR="004F0F9B" w:rsidRPr="00836844" w:rsidRDefault="004F0F9B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E65F" w14:textId="70909D90" w:rsidR="004F0F9B" w:rsidRPr="00836844" w:rsidRDefault="004F0F9B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4F0F9B">
              <w:rPr>
                <w:color w:val="000000"/>
                <w:lang w:eastAsia="hu-HU"/>
              </w:rPr>
              <w:t>3020125294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91C5" w14:textId="7F3451BD" w:rsidR="004F0F9B" w:rsidRPr="00836844" w:rsidRDefault="004F0F9B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4F0F9B">
              <w:rPr>
                <w:color w:val="000000"/>
                <w:lang w:eastAsia="hu-HU"/>
              </w:rPr>
              <w:t>Magyar Falu Program: A Kossuth - Rákóczi utca településközponti szakaszának fejlesztése Kulcson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30270" w14:textId="42041DD6" w:rsidR="004F0F9B" w:rsidRPr="00836844" w:rsidRDefault="004F0F9B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 w:rsidRPr="004F0F9B">
              <w:rPr>
                <w:color w:val="000000"/>
                <w:lang w:eastAsia="hu-HU"/>
              </w:rPr>
              <w:t xml:space="preserve">30 000 000   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74A8" w14:textId="0AC73B12" w:rsidR="004F0F9B" w:rsidRPr="00836844" w:rsidRDefault="004F0F9B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100%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0F12" w14:textId="68CAE9F1" w:rsidR="004F0F9B" w:rsidRPr="00836844" w:rsidRDefault="004F0F9B" w:rsidP="00836844">
            <w:pPr>
              <w:suppressAutoHyphens w:val="0"/>
              <w:jc w:val="center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29 978 447</w:t>
            </w:r>
          </w:p>
        </w:tc>
      </w:tr>
    </w:tbl>
    <w:p w14:paraId="1865248A" w14:textId="63669078" w:rsidR="00836844" w:rsidRDefault="00836844" w:rsidP="00836844">
      <w:pPr>
        <w:rPr>
          <w:sz w:val="24"/>
          <w:szCs w:val="24"/>
        </w:rPr>
      </w:pPr>
    </w:p>
    <w:p w14:paraId="771E630C" w14:textId="77777777" w:rsidR="00DA1FCC" w:rsidRDefault="00DA1FCC">
      <w:pPr>
        <w:suppressAutoHyphens w:val="0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C147E6" w14:textId="74017625" w:rsidR="004F0F9B" w:rsidRDefault="004F0F9B" w:rsidP="00DA1FCC">
      <w:pPr>
        <w:pStyle w:val="Listaszerbekezds"/>
        <w:numPr>
          <w:ilvl w:val="0"/>
          <w:numId w:val="1"/>
        </w:num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Melléklet</w:t>
      </w:r>
    </w:p>
    <w:p w14:paraId="2E0E2531" w14:textId="77777777" w:rsidR="004F0F9B" w:rsidRPr="004F0F9B" w:rsidRDefault="004F0F9B" w:rsidP="004F0F9B">
      <w:pPr>
        <w:rPr>
          <w:sz w:val="24"/>
          <w:szCs w:val="24"/>
        </w:rPr>
      </w:pPr>
    </w:p>
    <w:p w14:paraId="2A228ACD" w14:textId="77777777" w:rsidR="00DA1FCC" w:rsidRDefault="00DA1FCC" w:rsidP="004F0F9B">
      <w:pPr>
        <w:rPr>
          <w:b/>
          <w:sz w:val="24"/>
          <w:szCs w:val="24"/>
        </w:rPr>
      </w:pPr>
    </w:p>
    <w:p w14:paraId="7C17D88D" w14:textId="77777777" w:rsidR="00DA1FCC" w:rsidRDefault="00DA1FCC" w:rsidP="004F0F9B">
      <w:pPr>
        <w:rPr>
          <w:b/>
          <w:sz w:val="24"/>
          <w:szCs w:val="24"/>
        </w:rPr>
      </w:pPr>
    </w:p>
    <w:p w14:paraId="3794280A" w14:textId="77777777" w:rsidR="00DA1FCC" w:rsidRDefault="00DA1FCC" w:rsidP="004F0F9B">
      <w:pPr>
        <w:rPr>
          <w:b/>
          <w:sz w:val="24"/>
          <w:szCs w:val="24"/>
        </w:rPr>
      </w:pPr>
    </w:p>
    <w:p w14:paraId="77DE82A6" w14:textId="39DB929B" w:rsidR="004F0F9B" w:rsidRDefault="004F0F9B" w:rsidP="00DA1FCC">
      <w:pPr>
        <w:jc w:val="center"/>
        <w:rPr>
          <w:b/>
          <w:sz w:val="24"/>
          <w:szCs w:val="24"/>
        </w:rPr>
      </w:pPr>
      <w:r w:rsidRPr="004F0F9B">
        <w:rPr>
          <w:b/>
          <w:sz w:val="24"/>
          <w:szCs w:val="24"/>
        </w:rPr>
        <w:t>Benyújtott, vagy benyújtásra váró pályázatok</w:t>
      </w:r>
    </w:p>
    <w:p w14:paraId="739DC9FD" w14:textId="075AEBBF" w:rsidR="00DA1FCC" w:rsidRDefault="00DA1FCC" w:rsidP="004F0F9B">
      <w:pPr>
        <w:rPr>
          <w:b/>
          <w:sz w:val="24"/>
          <w:szCs w:val="24"/>
        </w:rPr>
      </w:pPr>
    </w:p>
    <w:p w14:paraId="4612A32D" w14:textId="540AD64E" w:rsidR="00DA1FCC" w:rsidRDefault="00DA1FCC" w:rsidP="004F0F9B">
      <w:pPr>
        <w:rPr>
          <w:b/>
          <w:sz w:val="24"/>
          <w:szCs w:val="24"/>
        </w:rPr>
      </w:pPr>
    </w:p>
    <w:p w14:paraId="3ECC49D3" w14:textId="77777777" w:rsidR="00DA1FCC" w:rsidRPr="004F0F9B" w:rsidRDefault="00DA1FCC" w:rsidP="004F0F9B">
      <w:pPr>
        <w:rPr>
          <w:b/>
          <w:sz w:val="24"/>
          <w:szCs w:val="24"/>
        </w:rPr>
      </w:pPr>
    </w:p>
    <w:p w14:paraId="31C0329E" w14:textId="77777777" w:rsidR="004F0F9B" w:rsidRPr="004F0F9B" w:rsidRDefault="004F0F9B" w:rsidP="004F0F9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685"/>
        <w:gridCol w:w="2552"/>
        <w:gridCol w:w="1600"/>
        <w:gridCol w:w="2332"/>
      </w:tblGrid>
      <w:tr w:rsidR="004F0F9B" w:rsidRPr="004F0F9B" w14:paraId="320A8F28" w14:textId="77777777" w:rsidTr="002C78AD">
        <w:tc>
          <w:tcPr>
            <w:tcW w:w="1129" w:type="dxa"/>
            <w:vAlign w:val="center"/>
          </w:tcPr>
          <w:p w14:paraId="652D8435" w14:textId="5DA2ABB0" w:rsidR="004F0F9B" w:rsidRPr="004F0F9B" w:rsidRDefault="004F0F9B" w:rsidP="004F0F9B">
            <w:pPr>
              <w:jc w:val="center"/>
            </w:pPr>
            <w:r w:rsidRPr="004F0F9B">
              <w:rPr>
                <w:b/>
                <w:bCs/>
                <w:color w:val="000000"/>
                <w:lang w:eastAsia="hu-HU"/>
              </w:rPr>
              <w:t>Sorszám</w:t>
            </w:r>
          </w:p>
        </w:tc>
        <w:tc>
          <w:tcPr>
            <w:tcW w:w="2694" w:type="dxa"/>
            <w:vAlign w:val="center"/>
          </w:tcPr>
          <w:p w14:paraId="1E35D007" w14:textId="4877F284" w:rsidR="004F0F9B" w:rsidRPr="004F0F9B" w:rsidRDefault="004F0F9B" w:rsidP="004F0F9B">
            <w:pPr>
              <w:jc w:val="center"/>
            </w:pPr>
            <w:r w:rsidRPr="004F0F9B">
              <w:rPr>
                <w:b/>
                <w:bCs/>
                <w:color w:val="000000"/>
                <w:lang w:eastAsia="hu-HU"/>
              </w:rPr>
              <w:t>Támogatási kérelem/felhívás azonosítója</w:t>
            </w:r>
          </w:p>
        </w:tc>
        <w:tc>
          <w:tcPr>
            <w:tcW w:w="3685" w:type="dxa"/>
            <w:vAlign w:val="center"/>
          </w:tcPr>
          <w:p w14:paraId="117A702B" w14:textId="7CDD5BB4" w:rsidR="004F0F9B" w:rsidRPr="004F0F9B" w:rsidRDefault="004F0F9B" w:rsidP="004F0F9B">
            <w:pPr>
              <w:jc w:val="center"/>
            </w:pPr>
            <w:r w:rsidRPr="004F0F9B">
              <w:rPr>
                <w:b/>
                <w:bCs/>
                <w:color w:val="000000"/>
                <w:lang w:eastAsia="hu-HU"/>
              </w:rPr>
              <w:t>Projekt címe/rövid tartalma</w:t>
            </w:r>
          </w:p>
        </w:tc>
        <w:tc>
          <w:tcPr>
            <w:tcW w:w="2552" w:type="dxa"/>
            <w:vAlign w:val="center"/>
          </w:tcPr>
          <w:p w14:paraId="212DCA02" w14:textId="5313FFE7" w:rsidR="004F0F9B" w:rsidRPr="004F0F9B" w:rsidRDefault="004F0F9B" w:rsidP="004F0F9B">
            <w:pPr>
              <w:jc w:val="center"/>
            </w:pPr>
            <w:r w:rsidRPr="004F0F9B">
              <w:rPr>
                <w:b/>
                <w:bCs/>
                <w:color w:val="000000"/>
                <w:lang w:eastAsia="hu-HU"/>
              </w:rPr>
              <w:t>Projekt összköltsége (Ft)</w:t>
            </w:r>
          </w:p>
        </w:tc>
        <w:tc>
          <w:tcPr>
            <w:tcW w:w="1600" w:type="dxa"/>
            <w:vAlign w:val="center"/>
          </w:tcPr>
          <w:p w14:paraId="74AB84E4" w14:textId="414D0FF8" w:rsidR="004F0F9B" w:rsidRPr="004F0F9B" w:rsidRDefault="004F0F9B" w:rsidP="004F0F9B">
            <w:pPr>
              <w:jc w:val="center"/>
            </w:pPr>
            <w:r w:rsidRPr="004F0F9B">
              <w:rPr>
                <w:b/>
                <w:bCs/>
                <w:color w:val="000000"/>
                <w:lang w:eastAsia="hu-HU"/>
              </w:rPr>
              <w:t>Támogatási intenzitás</w:t>
            </w:r>
          </w:p>
        </w:tc>
        <w:tc>
          <w:tcPr>
            <w:tcW w:w="2332" w:type="dxa"/>
            <w:vAlign w:val="center"/>
          </w:tcPr>
          <w:p w14:paraId="73161AAF" w14:textId="446A68C5" w:rsidR="004F0F9B" w:rsidRPr="004F0F9B" w:rsidRDefault="004F0F9B" w:rsidP="004F0F9B">
            <w:pPr>
              <w:jc w:val="center"/>
            </w:pPr>
            <w:r w:rsidRPr="004F0F9B">
              <w:rPr>
                <w:b/>
                <w:bCs/>
                <w:color w:val="000000"/>
                <w:lang w:eastAsia="hu-HU"/>
              </w:rPr>
              <w:t>Támogatási igény (Ft)</w:t>
            </w:r>
          </w:p>
        </w:tc>
      </w:tr>
      <w:tr w:rsidR="004F0F9B" w:rsidRPr="004F0F9B" w14:paraId="613A1C1F" w14:textId="77777777" w:rsidTr="002C78AD">
        <w:tc>
          <w:tcPr>
            <w:tcW w:w="1129" w:type="dxa"/>
            <w:vAlign w:val="center"/>
          </w:tcPr>
          <w:p w14:paraId="16ACA090" w14:textId="007134C3" w:rsidR="004F0F9B" w:rsidRPr="004F0F9B" w:rsidRDefault="004F0F9B" w:rsidP="004F0F9B">
            <w:pPr>
              <w:jc w:val="center"/>
            </w:pPr>
            <w:r w:rsidRPr="004F0F9B">
              <w:t>1.</w:t>
            </w:r>
          </w:p>
        </w:tc>
        <w:tc>
          <w:tcPr>
            <w:tcW w:w="2694" w:type="dxa"/>
            <w:vAlign w:val="center"/>
          </w:tcPr>
          <w:p w14:paraId="77987EB7" w14:textId="59F75985" w:rsidR="004F0F9B" w:rsidRPr="004F0F9B" w:rsidRDefault="004F0F9B" w:rsidP="004F0F9B">
            <w:pPr>
              <w:jc w:val="center"/>
            </w:pPr>
            <w:r w:rsidRPr="004F0F9B">
              <w:t>MFP-AEE/2020</w:t>
            </w:r>
          </w:p>
        </w:tc>
        <w:tc>
          <w:tcPr>
            <w:tcW w:w="3685" w:type="dxa"/>
            <w:vAlign w:val="center"/>
          </w:tcPr>
          <w:p w14:paraId="30421A7B" w14:textId="349A3836" w:rsidR="004F0F9B" w:rsidRPr="004F0F9B" w:rsidRDefault="004F0F9B" w:rsidP="004F0F9B">
            <w:pPr>
              <w:jc w:val="center"/>
            </w:pPr>
            <w:r w:rsidRPr="004F0F9B">
              <w:t>Magyar Falu Program – Orvosi eszköz</w:t>
            </w:r>
          </w:p>
        </w:tc>
        <w:tc>
          <w:tcPr>
            <w:tcW w:w="2552" w:type="dxa"/>
            <w:vAlign w:val="center"/>
          </w:tcPr>
          <w:p w14:paraId="72FEBF04" w14:textId="0CCCCB6B" w:rsidR="004F0F9B" w:rsidRPr="004F0F9B" w:rsidRDefault="005A3A82" w:rsidP="004F0F9B">
            <w:pPr>
              <w:jc w:val="center"/>
            </w:pPr>
            <w:r>
              <w:t>3.000.000</w:t>
            </w:r>
          </w:p>
        </w:tc>
        <w:tc>
          <w:tcPr>
            <w:tcW w:w="1600" w:type="dxa"/>
            <w:vAlign w:val="center"/>
          </w:tcPr>
          <w:p w14:paraId="31F2F098" w14:textId="644C8D0D" w:rsidR="004F0F9B" w:rsidRPr="004F0F9B" w:rsidRDefault="004F0F9B" w:rsidP="004F0F9B">
            <w:pPr>
              <w:jc w:val="center"/>
            </w:pPr>
            <w:r w:rsidRPr="004F0F9B">
              <w:t>100%</w:t>
            </w:r>
          </w:p>
        </w:tc>
        <w:tc>
          <w:tcPr>
            <w:tcW w:w="2332" w:type="dxa"/>
            <w:vAlign w:val="center"/>
          </w:tcPr>
          <w:p w14:paraId="5004BFAC" w14:textId="2A16F367" w:rsidR="004F0F9B" w:rsidRPr="004F0F9B" w:rsidRDefault="005A3A82" w:rsidP="004F0F9B">
            <w:pPr>
              <w:jc w:val="center"/>
            </w:pPr>
            <w:r>
              <w:t>3.000.000</w:t>
            </w:r>
          </w:p>
        </w:tc>
      </w:tr>
      <w:tr w:rsidR="004F0F9B" w:rsidRPr="004F0F9B" w14:paraId="190A79B2" w14:textId="77777777" w:rsidTr="002C78AD">
        <w:tc>
          <w:tcPr>
            <w:tcW w:w="1129" w:type="dxa"/>
            <w:vAlign w:val="center"/>
          </w:tcPr>
          <w:p w14:paraId="0D55CE05" w14:textId="69D28E68" w:rsidR="004F0F9B" w:rsidRPr="004F0F9B" w:rsidRDefault="004F0F9B" w:rsidP="004F0F9B">
            <w:pPr>
              <w:jc w:val="center"/>
            </w:pPr>
            <w:r w:rsidRPr="004F0F9B">
              <w:t>2.</w:t>
            </w:r>
          </w:p>
        </w:tc>
        <w:tc>
          <w:tcPr>
            <w:tcW w:w="2694" w:type="dxa"/>
            <w:vAlign w:val="center"/>
          </w:tcPr>
          <w:p w14:paraId="2FCD59DA" w14:textId="51BCADE6" w:rsidR="004F0F9B" w:rsidRPr="004F0F9B" w:rsidRDefault="004F0F9B" w:rsidP="004F0F9B">
            <w:pPr>
              <w:jc w:val="center"/>
            </w:pPr>
            <w:r w:rsidRPr="004F0F9B">
              <w:t>MFP-BJA/2020</w:t>
            </w:r>
          </w:p>
        </w:tc>
        <w:tc>
          <w:tcPr>
            <w:tcW w:w="3685" w:type="dxa"/>
            <w:vAlign w:val="center"/>
          </w:tcPr>
          <w:p w14:paraId="73FCD756" w14:textId="6701D3B3" w:rsidR="004F0F9B" w:rsidRPr="004F0F9B" w:rsidRDefault="004F0F9B" w:rsidP="004F0F9B">
            <w:pPr>
              <w:jc w:val="center"/>
            </w:pPr>
            <w:r w:rsidRPr="004F0F9B">
              <w:t>Magyar Falu Program – Önkormányzati járdaépítés/felújítás anyagtámogatása</w:t>
            </w:r>
          </w:p>
        </w:tc>
        <w:tc>
          <w:tcPr>
            <w:tcW w:w="2552" w:type="dxa"/>
            <w:vAlign w:val="center"/>
          </w:tcPr>
          <w:p w14:paraId="45DDE199" w14:textId="19C902A5" w:rsidR="004F0F9B" w:rsidRPr="004F0F9B" w:rsidRDefault="005A3A82" w:rsidP="004F0F9B">
            <w:pPr>
              <w:jc w:val="center"/>
            </w:pPr>
            <w:r>
              <w:t>5.000.000</w:t>
            </w:r>
          </w:p>
        </w:tc>
        <w:tc>
          <w:tcPr>
            <w:tcW w:w="1600" w:type="dxa"/>
            <w:vAlign w:val="center"/>
          </w:tcPr>
          <w:p w14:paraId="6C247F06" w14:textId="18FC854F" w:rsidR="004F0F9B" w:rsidRPr="004F0F9B" w:rsidRDefault="004F0F9B" w:rsidP="004F0F9B">
            <w:pPr>
              <w:jc w:val="center"/>
            </w:pPr>
            <w:r w:rsidRPr="004F0F9B">
              <w:t>100%</w:t>
            </w:r>
          </w:p>
        </w:tc>
        <w:tc>
          <w:tcPr>
            <w:tcW w:w="2332" w:type="dxa"/>
            <w:vAlign w:val="center"/>
          </w:tcPr>
          <w:p w14:paraId="4F29FE38" w14:textId="20E1C5AD" w:rsidR="004F0F9B" w:rsidRPr="004F0F9B" w:rsidRDefault="005A3A82" w:rsidP="004F0F9B">
            <w:pPr>
              <w:jc w:val="center"/>
            </w:pPr>
            <w:r>
              <w:t>5.000.000</w:t>
            </w:r>
          </w:p>
        </w:tc>
      </w:tr>
      <w:tr w:rsidR="004F0F9B" w:rsidRPr="004F0F9B" w14:paraId="3884F51A" w14:textId="77777777" w:rsidTr="002C78AD">
        <w:tc>
          <w:tcPr>
            <w:tcW w:w="1129" w:type="dxa"/>
            <w:vAlign w:val="center"/>
          </w:tcPr>
          <w:p w14:paraId="41EB62DA" w14:textId="2DFB42C5" w:rsidR="004F0F9B" w:rsidRPr="004F0F9B" w:rsidRDefault="004F0F9B" w:rsidP="004F0F9B">
            <w:pPr>
              <w:jc w:val="center"/>
            </w:pPr>
            <w:r w:rsidRPr="004F0F9B">
              <w:t>3.</w:t>
            </w:r>
          </w:p>
        </w:tc>
        <w:tc>
          <w:tcPr>
            <w:tcW w:w="2694" w:type="dxa"/>
            <w:vAlign w:val="center"/>
          </w:tcPr>
          <w:p w14:paraId="7E3C2014" w14:textId="22E64806" w:rsidR="004F0F9B" w:rsidRPr="004F0F9B" w:rsidRDefault="004F0F9B" w:rsidP="004F0F9B">
            <w:pPr>
              <w:jc w:val="center"/>
            </w:pPr>
            <w:r w:rsidRPr="004F0F9B">
              <w:t>MFP-KTF/2020</w:t>
            </w:r>
          </w:p>
        </w:tc>
        <w:tc>
          <w:tcPr>
            <w:tcW w:w="3685" w:type="dxa"/>
            <w:vAlign w:val="center"/>
          </w:tcPr>
          <w:p w14:paraId="63A7AC21" w14:textId="6791CF76" w:rsidR="004F0F9B" w:rsidRPr="004F0F9B" w:rsidRDefault="004F0F9B" w:rsidP="004F0F9B">
            <w:pPr>
              <w:jc w:val="center"/>
            </w:pPr>
            <w:r w:rsidRPr="004F0F9B">
              <w:t>Magyar Falu Program – Közösségi tér ki-/átalakítása és foglalkoztatás</w:t>
            </w:r>
          </w:p>
        </w:tc>
        <w:tc>
          <w:tcPr>
            <w:tcW w:w="2552" w:type="dxa"/>
            <w:vAlign w:val="center"/>
          </w:tcPr>
          <w:p w14:paraId="32835A69" w14:textId="050A8170" w:rsidR="004F0F9B" w:rsidRPr="004F0F9B" w:rsidRDefault="005A3A82" w:rsidP="004F0F9B">
            <w:pPr>
              <w:jc w:val="center"/>
            </w:pPr>
            <w:r>
              <w:t>30.000.000</w:t>
            </w:r>
          </w:p>
        </w:tc>
        <w:tc>
          <w:tcPr>
            <w:tcW w:w="1600" w:type="dxa"/>
            <w:vAlign w:val="center"/>
          </w:tcPr>
          <w:p w14:paraId="7430419D" w14:textId="7CA73248" w:rsidR="004F0F9B" w:rsidRPr="004F0F9B" w:rsidRDefault="004F0F9B" w:rsidP="004F0F9B">
            <w:pPr>
              <w:jc w:val="center"/>
            </w:pPr>
            <w:r w:rsidRPr="004F0F9B">
              <w:t>100%</w:t>
            </w:r>
          </w:p>
        </w:tc>
        <w:tc>
          <w:tcPr>
            <w:tcW w:w="2332" w:type="dxa"/>
            <w:vAlign w:val="center"/>
          </w:tcPr>
          <w:p w14:paraId="7A520B35" w14:textId="10FB84F0" w:rsidR="004F0F9B" w:rsidRPr="004F0F9B" w:rsidRDefault="005A3A82" w:rsidP="004F0F9B">
            <w:pPr>
              <w:jc w:val="center"/>
            </w:pPr>
            <w:r>
              <w:t>30.000.000</w:t>
            </w:r>
          </w:p>
        </w:tc>
      </w:tr>
      <w:tr w:rsidR="004F0F9B" w:rsidRPr="004F0F9B" w14:paraId="236CA364" w14:textId="77777777" w:rsidTr="002C78AD">
        <w:tc>
          <w:tcPr>
            <w:tcW w:w="1129" w:type="dxa"/>
            <w:vAlign w:val="center"/>
          </w:tcPr>
          <w:p w14:paraId="5FBBC23B" w14:textId="2F8B31C6" w:rsidR="004F0F9B" w:rsidRPr="004F0F9B" w:rsidRDefault="004F0F9B" w:rsidP="004F0F9B">
            <w:pPr>
              <w:jc w:val="center"/>
            </w:pPr>
            <w:r w:rsidRPr="004F0F9B">
              <w:t>4.</w:t>
            </w:r>
          </w:p>
        </w:tc>
        <w:tc>
          <w:tcPr>
            <w:tcW w:w="2694" w:type="dxa"/>
            <w:vAlign w:val="center"/>
          </w:tcPr>
          <w:p w14:paraId="41A249DC" w14:textId="77777777" w:rsidR="004F0F9B" w:rsidRPr="004F0F9B" w:rsidRDefault="004F0F9B" w:rsidP="004F0F9B">
            <w:pPr>
              <w:jc w:val="center"/>
            </w:pPr>
          </w:p>
          <w:p w14:paraId="41173ED4" w14:textId="09F849E0" w:rsidR="004F0F9B" w:rsidRPr="004F0F9B" w:rsidRDefault="004F0F9B" w:rsidP="004F0F9B">
            <w:pPr>
              <w:jc w:val="center"/>
            </w:pPr>
            <w:r w:rsidRPr="004F0F9B">
              <w:t>MFP-ÖTU/2020</w:t>
            </w:r>
          </w:p>
        </w:tc>
        <w:tc>
          <w:tcPr>
            <w:tcW w:w="3685" w:type="dxa"/>
            <w:vAlign w:val="center"/>
          </w:tcPr>
          <w:p w14:paraId="33D22C59" w14:textId="281AC80A" w:rsidR="004F0F9B" w:rsidRPr="004F0F9B" w:rsidRDefault="004F0F9B" w:rsidP="004F0F9B">
            <w:pPr>
              <w:jc w:val="center"/>
            </w:pPr>
            <w:r w:rsidRPr="004F0F9B">
              <w:t>Magyar Falu Program – Önkormányzat tulajdonban lévő út-, hídépítés/felújítás</w:t>
            </w:r>
          </w:p>
        </w:tc>
        <w:tc>
          <w:tcPr>
            <w:tcW w:w="2552" w:type="dxa"/>
            <w:vAlign w:val="center"/>
          </w:tcPr>
          <w:p w14:paraId="20FC2A4D" w14:textId="0DCD556A" w:rsidR="004F0F9B" w:rsidRPr="004F0F9B" w:rsidRDefault="005A3A82" w:rsidP="004F0F9B">
            <w:pPr>
              <w:jc w:val="center"/>
            </w:pPr>
            <w:r>
              <w:t>30.000.000</w:t>
            </w:r>
          </w:p>
        </w:tc>
        <w:tc>
          <w:tcPr>
            <w:tcW w:w="1600" w:type="dxa"/>
            <w:vAlign w:val="center"/>
          </w:tcPr>
          <w:p w14:paraId="04EF88E5" w14:textId="15591A09" w:rsidR="004F0F9B" w:rsidRPr="004F0F9B" w:rsidRDefault="004F0F9B" w:rsidP="004F0F9B">
            <w:pPr>
              <w:jc w:val="center"/>
            </w:pPr>
            <w:r w:rsidRPr="004F0F9B">
              <w:t>100%</w:t>
            </w:r>
          </w:p>
        </w:tc>
        <w:tc>
          <w:tcPr>
            <w:tcW w:w="2332" w:type="dxa"/>
            <w:vAlign w:val="center"/>
          </w:tcPr>
          <w:p w14:paraId="74636027" w14:textId="1CA5C9F9" w:rsidR="004F0F9B" w:rsidRPr="004F0F9B" w:rsidRDefault="005A3A82" w:rsidP="004F0F9B">
            <w:pPr>
              <w:jc w:val="center"/>
            </w:pPr>
            <w:r>
              <w:t>30.000.000</w:t>
            </w:r>
          </w:p>
        </w:tc>
      </w:tr>
      <w:tr w:rsidR="004F0F9B" w:rsidRPr="004F0F9B" w14:paraId="17303BE3" w14:textId="77777777" w:rsidTr="002C78AD">
        <w:tc>
          <w:tcPr>
            <w:tcW w:w="1129" w:type="dxa"/>
            <w:vAlign w:val="center"/>
          </w:tcPr>
          <w:p w14:paraId="19C50A79" w14:textId="6BA99116" w:rsidR="004F0F9B" w:rsidRPr="004F0F9B" w:rsidRDefault="004F0F9B" w:rsidP="004F0F9B">
            <w:pPr>
              <w:jc w:val="center"/>
            </w:pPr>
            <w:r w:rsidRPr="004F0F9B">
              <w:t>5.</w:t>
            </w:r>
          </w:p>
        </w:tc>
        <w:tc>
          <w:tcPr>
            <w:tcW w:w="2694" w:type="dxa"/>
            <w:vAlign w:val="center"/>
          </w:tcPr>
          <w:p w14:paraId="372F80F3" w14:textId="0665EFAE" w:rsidR="004F0F9B" w:rsidRPr="004F0F9B" w:rsidRDefault="004F0F9B" w:rsidP="004F0F9B">
            <w:pPr>
              <w:jc w:val="center"/>
            </w:pPr>
            <w:r w:rsidRPr="004F0F9B">
              <w:t>TOP-3.2.1-16</w:t>
            </w:r>
          </w:p>
        </w:tc>
        <w:tc>
          <w:tcPr>
            <w:tcW w:w="3685" w:type="dxa"/>
            <w:vAlign w:val="center"/>
          </w:tcPr>
          <w:p w14:paraId="3472BE93" w14:textId="7EBA60D8" w:rsidR="004F0F9B" w:rsidRPr="004F0F9B" w:rsidRDefault="004F0F9B" w:rsidP="004F0F9B">
            <w:pPr>
              <w:jc w:val="center"/>
            </w:pPr>
            <w:r w:rsidRPr="004F0F9B">
              <w:t>Önkormányzati épületek energetikai korszerűsítése</w:t>
            </w:r>
          </w:p>
        </w:tc>
        <w:tc>
          <w:tcPr>
            <w:tcW w:w="2552" w:type="dxa"/>
            <w:vAlign w:val="center"/>
          </w:tcPr>
          <w:p w14:paraId="3105CE24" w14:textId="6A2C6C0F" w:rsidR="004F0F9B" w:rsidRPr="004F0F9B" w:rsidRDefault="005A3A82" w:rsidP="004F0F9B">
            <w:pPr>
              <w:jc w:val="center"/>
            </w:pPr>
            <w:r>
              <w:t>50.000.000</w:t>
            </w:r>
          </w:p>
        </w:tc>
        <w:tc>
          <w:tcPr>
            <w:tcW w:w="1600" w:type="dxa"/>
            <w:vAlign w:val="center"/>
          </w:tcPr>
          <w:p w14:paraId="76FC6E01" w14:textId="781673FC" w:rsidR="004F0F9B" w:rsidRPr="004F0F9B" w:rsidRDefault="004F0F9B" w:rsidP="004F0F9B">
            <w:pPr>
              <w:jc w:val="center"/>
            </w:pPr>
            <w:r w:rsidRPr="004F0F9B">
              <w:t>100%</w:t>
            </w:r>
          </w:p>
        </w:tc>
        <w:tc>
          <w:tcPr>
            <w:tcW w:w="2332" w:type="dxa"/>
            <w:vAlign w:val="center"/>
          </w:tcPr>
          <w:p w14:paraId="1E4D512F" w14:textId="415B6F8A" w:rsidR="004F0F9B" w:rsidRPr="004F0F9B" w:rsidRDefault="005A3A82" w:rsidP="004F0F9B">
            <w:pPr>
              <w:jc w:val="center"/>
            </w:pPr>
            <w:r>
              <w:t>50.000.000</w:t>
            </w:r>
          </w:p>
        </w:tc>
      </w:tr>
    </w:tbl>
    <w:p w14:paraId="695E7060" w14:textId="29FEDF10" w:rsidR="004F0F9B" w:rsidRPr="004F0F9B" w:rsidRDefault="004F0F9B" w:rsidP="004F0F9B">
      <w:pPr>
        <w:jc w:val="center"/>
        <w:rPr>
          <w:sz w:val="24"/>
          <w:szCs w:val="24"/>
        </w:rPr>
      </w:pPr>
    </w:p>
    <w:sectPr w:rsidR="004F0F9B" w:rsidRPr="004F0F9B" w:rsidSect="0083684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3BC5C" w14:textId="77777777" w:rsidR="00674F31" w:rsidRDefault="00674F31" w:rsidP="00475063">
      <w:r>
        <w:separator/>
      </w:r>
    </w:p>
  </w:endnote>
  <w:endnote w:type="continuationSeparator" w:id="0">
    <w:p w14:paraId="03844BA8" w14:textId="77777777" w:rsidR="00674F31" w:rsidRDefault="00674F31" w:rsidP="0047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9EFA2" w14:textId="77777777" w:rsidR="00674F31" w:rsidRDefault="00674F31" w:rsidP="00475063">
      <w:r>
        <w:separator/>
      </w:r>
    </w:p>
  </w:footnote>
  <w:footnote w:type="continuationSeparator" w:id="0">
    <w:p w14:paraId="493FD0BF" w14:textId="77777777" w:rsidR="00674F31" w:rsidRDefault="00674F31" w:rsidP="0047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61ED5"/>
    <w:multiLevelType w:val="hybridMultilevel"/>
    <w:tmpl w:val="6936B8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E5"/>
    <w:rsid w:val="00123B2F"/>
    <w:rsid w:val="001A535F"/>
    <w:rsid w:val="002675E5"/>
    <w:rsid w:val="00287771"/>
    <w:rsid w:val="002C78AD"/>
    <w:rsid w:val="002E217A"/>
    <w:rsid w:val="002E4C83"/>
    <w:rsid w:val="00342DEA"/>
    <w:rsid w:val="00475063"/>
    <w:rsid w:val="0048065D"/>
    <w:rsid w:val="004F0F9B"/>
    <w:rsid w:val="005A3A82"/>
    <w:rsid w:val="005E06A6"/>
    <w:rsid w:val="00660B9C"/>
    <w:rsid w:val="00674F31"/>
    <w:rsid w:val="00695009"/>
    <w:rsid w:val="006A42CF"/>
    <w:rsid w:val="00767E25"/>
    <w:rsid w:val="00770823"/>
    <w:rsid w:val="00836844"/>
    <w:rsid w:val="008C2BD1"/>
    <w:rsid w:val="009775FE"/>
    <w:rsid w:val="00C13ECD"/>
    <w:rsid w:val="00C4176D"/>
    <w:rsid w:val="00D05DED"/>
    <w:rsid w:val="00DA1FCC"/>
    <w:rsid w:val="00EF3459"/>
    <w:rsid w:val="00F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E8E5"/>
  <w15:chartTrackingRefBased/>
  <w15:docId w15:val="{D4CD11E8-FF61-4C7D-B444-BAE69B97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75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2675E5"/>
    <w:pPr>
      <w:jc w:val="both"/>
    </w:pPr>
  </w:style>
  <w:style w:type="paragraph" w:styleId="lfej">
    <w:name w:val="header"/>
    <w:basedOn w:val="Norml"/>
    <w:link w:val="lfejChar"/>
    <w:uiPriority w:val="99"/>
    <w:unhideWhenUsed/>
    <w:rsid w:val="004750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750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4750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750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3684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368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3684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368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68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3684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84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6844"/>
    <w:rPr>
      <w:rFonts w:ascii="Segoe UI" w:eastAsia="Times New Roman" w:hAnsi="Segoe UI" w:cs="Segoe UI"/>
      <w:sz w:val="18"/>
      <w:szCs w:val="18"/>
      <w:lang w:eastAsia="ar-SA"/>
    </w:rPr>
  </w:style>
  <w:style w:type="table" w:styleId="Rcsostblzat">
    <w:name w:val="Table Grid"/>
    <w:basedOn w:val="Normltblzat"/>
    <w:uiPriority w:val="39"/>
    <w:rsid w:val="004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5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8</Pages>
  <Words>1498</Words>
  <Characters>10343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3</cp:revision>
  <dcterms:created xsi:type="dcterms:W3CDTF">2020-04-19T12:17:00Z</dcterms:created>
  <dcterms:modified xsi:type="dcterms:W3CDTF">2020-04-19T13:38:00Z</dcterms:modified>
</cp:coreProperties>
</file>