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C5" w:rsidRPr="00615AC3" w:rsidRDefault="00ED2EC5" w:rsidP="00ED2EC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ED2EC5" w:rsidRPr="00615AC3" w:rsidRDefault="00ED2EC5" w:rsidP="00ED2EC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r w:rsidRPr="00615AC3">
        <w:rPr>
          <w:rFonts w:ascii="Times New Roman" w:hAnsi="Times New Roman" w:cs="Times New Roman"/>
          <w:color w:val="222222"/>
        </w:rPr>
        <w:t xml:space="preserve">11. függelék </w:t>
      </w:r>
    </w:p>
    <w:p w:rsidR="00ED2EC5" w:rsidRPr="00615AC3" w:rsidRDefault="00ED2EC5" w:rsidP="00ED2EC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  <w:proofErr w:type="gramStart"/>
      <w:r w:rsidRPr="00615AC3">
        <w:rPr>
          <w:rFonts w:ascii="Times New Roman" w:hAnsi="Times New Roman" w:cs="Times New Roman"/>
          <w:color w:val="222222"/>
        </w:rPr>
        <w:t>a</w:t>
      </w:r>
      <w:proofErr w:type="gramEnd"/>
      <w:r w:rsidRPr="00615AC3">
        <w:rPr>
          <w:rFonts w:ascii="Times New Roman" w:hAnsi="Times New Roman" w:cs="Times New Roman"/>
          <w:color w:val="222222"/>
        </w:rPr>
        <w:t xml:space="preserve"> helyi építési szabályzatról szóló 24/2014. (IX. 12. önkormányzati rendelethez </w:t>
      </w:r>
    </w:p>
    <w:p w:rsidR="00ED2EC5" w:rsidRPr="00615AC3" w:rsidRDefault="00ED2EC5" w:rsidP="00ED2EC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color w:val="222222"/>
        </w:rPr>
      </w:pPr>
    </w:p>
    <w:p w:rsidR="00ED2EC5" w:rsidRPr="00615AC3" w:rsidRDefault="00ED2EC5" w:rsidP="00ED2EC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</w:rPr>
      </w:pPr>
      <w:r w:rsidRPr="00615AC3">
        <w:rPr>
          <w:rFonts w:ascii="Times New Roman" w:hAnsi="Times New Roman" w:cs="Times New Roman"/>
          <w:color w:val="222222"/>
        </w:rPr>
        <w:t>Gáz létesítmények védőtávolságára vonatkozó előírások közül</w:t>
      </w:r>
      <w:r w:rsidRPr="00615AC3">
        <w:rPr>
          <w:rFonts w:ascii="Times New Roman" w:hAnsi="Times New Roman" w:cs="Times New Roman"/>
        </w:rPr>
        <w:t xml:space="preserve"> különösen az alábbi jogszabályokat, illetve a kiemelt jogszabályi rendelkezéseket kell figyelembe venni:</w:t>
      </w:r>
    </w:p>
    <w:p w:rsidR="00ED2EC5" w:rsidRPr="00615AC3" w:rsidRDefault="00ED2EC5" w:rsidP="00ED2EC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ED2EC5" w:rsidRPr="00615AC3" w:rsidRDefault="00ED2EC5" w:rsidP="00ED2EC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615AC3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A gáz csatlakozóvezetékekre, a felhasználói berendezésekre, a telephelyi vezetékekre vonatkozó műszaki biztonsági előírásokról és az ezekkel összefüggő hatósági feladatokról </w:t>
      </w:r>
      <w:r w:rsidRPr="00615AC3">
        <w:rPr>
          <w:rFonts w:ascii="Times New Roman" w:hAnsi="Times New Roman" w:cs="Times New Roman"/>
          <w:b/>
          <w:bCs/>
          <w:sz w:val="19"/>
          <w:szCs w:val="19"/>
        </w:rPr>
        <w:t>11/2013 (II.21.) NGM rendelet</w:t>
      </w:r>
    </w:p>
    <w:p w:rsidR="00ED2EC5" w:rsidRPr="00615AC3" w:rsidRDefault="00ED2EC5" w:rsidP="00ED2EC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ED2EC5" w:rsidRPr="00615AC3" w:rsidRDefault="00ED2EC5" w:rsidP="00ED2EC5">
      <w:pPr>
        <w:pStyle w:val="NormlWeb"/>
        <w:shd w:val="clear" w:color="auto" w:fill="FFFFFF"/>
        <w:spacing w:before="0" w:beforeAutospacing="0" w:after="0" w:afterAutospacing="0" w:line="172" w:lineRule="atLeast"/>
        <w:ind w:right="21"/>
        <w:jc w:val="both"/>
        <w:rPr>
          <w:rFonts w:ascii="Times New Roman" w:hAnsi="Times New Roman" w:cs="Times New Roman"/>
          <w:b/>
          <w:bCs/>
          <w:sz w:val="19"/>
          <w:szCs w:val="19"/>
        </w:rPr>
      </w:pPr>
    </w:p>
    <w:p w:rsidR="00ED2EC5" w:rsidRPr="00615AC3" w:rsidRDefault="00ED2EC5" w:rsidP="00ED2EC5">
      <w:pPr>
        <w:ind w:right="-288"/>
        <w:jc w:val="center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2. melléklet a 11/2013. (III. 21.) NGM rendelethez</w:t>
      </w:r>
    </w:p>
    <w:p w:rsidR="00ED2EC5" w:rsidRPr="00615AC3" w:rsidRDefault="00ED2EC5" w:rsidP="00ED2EC5">
      <w:pPr>
        <w:ind w:right="-288"/>
        <w:jc w:val="center"/>
        <w:rPr>
          <w:rFonts w:ascii="Times New Roman" w:hAnsi="Times New Roman" w:cs="Times New Roman"/>
          <w:sz w:val="19"/>
          <w:szCs w:val="19"/>
        </w:rPr>
      </w:pPr>
      <w:bookmarkStart w:id="0" w:name="pr104"/>
      <w:bookmarkEnd w:id="0"/>
      <w:r w:rsidRPr="00615AC3">
        <w:rPr>
          <w:rFonts w:ascii="Times New Roman" w:hAnsi="Times New Roman" w:cs="Times New Roman"/>
          <w:sz w:val="19"/>
          <w:szCs w:val="19"/>
        </w:rPr>
        <w:t>Műszaki Biztonsági Szabályzat</w:t>
      </w:r>
    </w:p>
    <w:p w:rsidR="00ED2EC5" w:rsidRPr="00615AC3" w:rsidRDefault="00ED2EC5" w:rsidP="00ED2EC5">
      <w:pPr>
        <w:ind w:right="-288"/>
        <w:jc w:val="center"/>
        <w:rPr>
          <w:rFonts w:ascii="Times New Roman" w:hAnsi="Times New Roman" w:cs="Times New Roman"/>
          <w:sz w:val="19"/>
          <w:szCs w:val="19"/>
        </w:rPr>
      </w:pPr>
    </w:p>
    <w:p w:rsidR="00ED2EC5" w:rsidRPr="00615AC3" w:rsidRDefault="00ED2EC5" w:rsidP="00ED2EC5">
      <w:pPr>
        <w:spacing w:after="120"/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3.2.1.2. Védőtávolság</w:t>
      </w:r>
    </w:p>
    <w:p w:rsidR="00ED2EC5" w:rsidRPr="00615AC3" w:rsidRDefault="00ED2EC5" w:rsidP="00ED2EC5">
      <w:pPr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A csatlakozó vezetéket és a fogyasztó vezeték térszint alatti szakaszát, az alábbi (3.2. sz. táblázat) védőtávolság betartásával kell vezetni, kivétel az épület fala, ha azt merőlegesen közelíti meg.</w:t>
      </w:r>
    </w:p>
    <w:p w:rsidR="00ED2EC5" w:rsidRPr="00615AC3" w:rsidRDefault="00ED2EC5" w:rsidP="00ED2EC5">
      <w:pPr>
        <w:ind w:right="-288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3.2. sz. táblázat</w:t>
      </w:r>
    </w:p>
    <w:tbl>
      <w:tblPr>
        <w:tblW w:w="0" w:type="auto"/>
        <w:tblCellSpacing w:w="15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38"/>
        <w:gridCol w:w="730"/>
        <w:gridCol w:w="880"/>
        <w:gridCol w:w="2105"/>
        <w:gridCol w:w="900"/>
        <w:gridCol w:w="2476"/>
        <w:gridCol w:w="725"/>
      </w:tblGrid>
      <w:tr w:rsidR="00ED2EC5" w:rsidRPr="00615AC3" w:rsidTr="00994B7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Nyomás-fokozat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Védőtávolságok [m]</w:t>
            </w:r>
          </w:p>
        </w:tc>
      </w:tr>
      <w:tr w:rsidR="00ED2EC5" w:rsidRPr="00615AC3" w:rsidTr="00994B7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Épületek</w:t>
            </w:r>
          </w:p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től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Üreges,</w:t>
            </w:r>
          </w:p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túlnyomás</w:t>
            </w:r>
          </w:p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nélküli</w:t>
            </w:r>
          </w:p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közműtől,</w:t>
            </w:r>
          </w:p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műtárgytól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Erős áramú kábeltől, távfűtő vezetéktől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Vízvezeték</w:t>
            </w:r>
          </w:p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től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Ipari, nem villamos vágányok űrszelvényétől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Fák</w:t>
            </w:r>
          </w:p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törzsétől</w:t>
            </w:r>
          </w:p>
        </w:tc>
      </w:tr>
      <w:tr w:rsidR="00ED2EC5" w:rsidRPr="00615AC3" w:rsidTr="00994B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Kisnyomás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 (0,5)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0,5 (0,2)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0,3 (0,1)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 (1)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 (1)</w:t>
            </w:r>
          </w:p>
        </w:tc>
      </w:tr>
      <w:tr w:rsidR="00ED2EC5" w:rsidRPr="00615AC3" w:rsidTr="00994B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Középnyomás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4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 (1)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4 (2)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EC5" w:rsidRPr="00615AC3" w:rsidTr="00994B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Nagyközép</w:t>
            </w:r>
          </w:p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nyomás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5 (2,5)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 (1)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5 (2)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2EC5" w:rsidRPr="00615AC3" w:rsidRDefault="00ED2EC5" w:rsidP="00ED2EC5">
      <w:pPr>
        <w:ind w:right="-288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0" w:type="auto"/>
        <w:tblCellSpacing w:w="15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462"/>
        <w:gridCol w:w="1715"/>
        <w:gridCol w:w="1690"/>
        <w:gridCol w:w="1690"/>
        <w:gridCol w:w="1497"/>
      </w:tblGrid>
      <w:tr w:rsidR="00ED2EC5" w:rsidRPr="00615AC3" w:rsidTr="00994B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Vezeték névleges-átmérője (DN)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Üzemi nyomás (MOP)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A védőtávolság mértéke a tervezési tényező (f</w:t>
            </w:r>
            <w:r w:rsidRPr="00615AC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) függvényében [m]</w:t>
            </w:r>
          </w:p>
        </w:tc>
      </w:tr>
      <w:tr w:rsidR="00ED2EC5" w:rsidRPr="00615AC3" w:rsidTr="00994B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[mm]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[bar]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f0 &lt; 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f0 &lt; 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f0 &lt; 0,5</w:t>
            </w:r>
          </w:p>
        </w:tc>
      </w:tr>
      <w:tr w:rsidR="00ED2EC5" w:rsidRPr="00615AC3" w:rsidTr="00994B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DN &lt; 150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25 &lt; MOP &lt; 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D2EC5" w:rsidRPr="00615AC3" w:rsidTr="00994B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150 &lt; DN &lt; 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D2EC5" w:rsidRPr="00615AC3" w:rsidTr="00994B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400 &lt; DN &lt; 600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D2EC5" w:rsidRPr="00615AC3" w:rsidTr="00994B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600 &lt; DN &lt; 900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ED2EC5" w:rsidRPr="00615AC3" w:rsidTr="00994B7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DN &gt;</w:t>
            </w:r>
            <w:proofErr w:type="gramEnd"/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 900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D2EC5" w:rsidRPr="00615AC3" w:rsidRDefault="00ED2EC5" w:rsidP="00994B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615A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ED2EC5" w:rsidRPr="00615AC3" w:rsidRDefault="00ED2EC5" w:rsidP="00ED2EC5">
      <w:pPr>
        <w:ind w:right="-288"/>
        <w:jc w:val="both"/>
        <w:rPr>
          <w:rFonts w:ascii="Times New Roman" w:hAnsi="Times New Roman" w:cs="Times New Roman"/>
          <w:sz w:val="19"/>
          <w:szCs w:val="19"/>
        </w:rPr>
      </w:pPr>
    </w:p>
    <w:p w:rsidR="00ED2EC5" w:rsidRPr="00615AC3" w:rsidRDefault="00ED2EC5" w:rsidP="00ED2EC5">
      <w:pPr>
        <w:ind w:right="-288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A zárójeles távolságok az alkalmazni kívánt műszaki megoldással elérhető védelem mellett tervezhetők.</w:t>
      </w:r>
    </w:p>
    <w:p w:rsidR="00ED2EC5" w:rsidRPr="00615AC3" w:rsidRDefault="00ED2EC5" w:rsidP="00ED2EC5">
      <w:pPr>
        <w:ind w:right="-288"/>
        <w:jc w:val="both"/>
        <w:rPr>
          <w:rFonts w:ascii="Times New Roman" w:hAnsi="Times New Roman" w:cs="Times New Roman"/>
          <w:sz w:val="19"/>
          <w:szCs w:val="19"/>
        </w:rPr>
      </w:pPr>
    </w:p>
    <w:p w:rsidR="00ED2EC5" w:rsidRPr="00615AC3" w:rsidRDefault="00ED2EC5" w:rsidP="00ED2EC5">
      <w:pPr>
        <w:spacing w:after="120"/>
        <w:ind w:right="-288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A terv térjen ki a csatlakozó és/vagy fogyasztói vezeték védőtávolságon belüli alábbi tilalmakra és korlátozásokra:</w:t>
      </w:r>
    </w:p>
    <w:p w:rsidR="00ED2EC5" w:rsidRPr="00615AC3" w:rsidRDefault="00ED2EC5" w:rsidP="00ED2EC5">
      <w:pPr>
        <w:spacing w:after="120"/>
        <w:ind w:right="-289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615AC3">
        <w:rPr>
          <w:rFonts w:ascii="Times New Roman" w:hAnsi="Times New Roman" w:cs="Times New Roman"/>
          <w:sz w:val="19"/>
          <w:szCs w:val="19"/>
        </w:rPr>
        <w:t>a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 xml:space="preserve">) </w:t>
      </w:r>
      <w:proofErr w:type="spellStart"/>
      <w:r w:rsidRPr="00615AC3">
        <w:rPr>
          <w:rFonts w:ascii="Times New Roman" w:hAnsi="Times New Roman" w:cs="Times New Roman"/>
          <w:sz w:val="19"/>
          <w:szCs w:val="19"/>
        </w:rPr>
        <w:t>a</w:t>
      </w:r>
      <w:proofErr w:type="spellEnd"/>
      <w:r w:rsidRPr="00615AC3">
        <w:rPr>
          <w:rFonts w:ascii="Times New Roman" w:hAnsi="Times New Roman" w:cs="Times New Roman"/>
          <w:sz w:val="19"/>
          <w:szCs w:val="19"/>
        </w:rPr>
        <w:t xml:space="preserve"> védőtávolságon belül (3.2. sz. táblázat) nem szabad a vezeték műszaki állapotát veszélyeztető, ellenőrzését akadályozó tevékenységet végezni, illetve ilyen létesítményt elhelyezni.</w:t>
      </w:r>
    </w:p>
    <w:p w:rsidR="00ED2EC5" w:rsidRPr="00615AC3" w:rsidRDefault="00ED2EC5" w:rsidP="00ED2EC5">
      <w:pPr>
        <w:spacing w:after="120"/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b)    épület alatt csatlakozó és fogyasztói vezeték nem helyezhető el.</w:t>
      </w:r>
    </w:p>
    <w:p w:rsidR="00ED2EC5" w:rsidRPr="00615AC3" w:rsidRDefault="00ED2EC5" w:rsidP="00ED2EC5">
      <w:pPr>
        <w:spacing w:after="120"/>
        <w:ind w:right="-289"/>
        <w:jc w:val="both"/>
        <w:rPr>
          <w:rFonts w:ascii="Times New Roman" w:hAnsi="Times New Roman" w:cs="Times New Roman"/>
          <w:sz w:val="19"/>
          <w:szCs w:val="19"/>
        </w:rPr>
      </w:pPr>
      <w:r w:rsidRPr="00615AC3">
        <w:rPr>
          <w:rFonts w:ascii="Times New Roman" w:hAnsi="Times New Roman" w:cs="Times New Roman"/>
          <w:sz w:val="19"/>
          <w:szCs w:val="19"/>
        </w:rPr>
        <w:t>A védőtávolságon belül az üzemeltetéshez, karbantartáshoz és javításhoz szükséges létesítmények,</w:t>
      </w:r>
    </w:p>
    <w:p w:rsidR="00ED2EC5" w:rsidRPr="00615AC3" w:rsidRDefault="00ED2EC5" w:rsidP="00ED2EC5">
      <w:pPr>
        <w:spacing w:after="120"/>
        <w:ind w:right="-289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615AC3">
        <w:rPr>
          <w:rFonts w:ascii="Times New Roman" w:hAnsi="Times New Roman" w:cs="Times New Roman"/>
          <w:sz w:val="19"/>
          <w:szCs w:val="19"/>
        </w:rPr>
        <w:t>anyagok</w:t>
      </w:r>
      <w:proofErr w:type="gramEnd"/>
      <w:r w:rsidRPr="00615AC3">
        <w:rPr>
          <w:rFonts w:ascii="Times New Roman" w:hAnsi="Times New Roman" w:cs="Times New Roman"/>
          <w:sz w:val="19"/>
          <w:szCs w:val="19"/>
        </w:rPr>
        <w:t xml:space="preserve"> ideiglenesen elhelyezhetők, tevékenységek folytathatók.</w:t>
      </w:r>
    </w:p>
    <w:p w:rsidR="00D07554" w:rsidRDefault="00D07554">
      <w:bookmarkStart w:id="1" w:name="_GoBack"/>
      <w:bookmarkEnd w:id="1"/>
    </w:p>
    <w:sectPr w:rsidR="00D0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C5"/>
    <w:rsid w:val="00D07554"/>
    <w:rsid w:val="00ED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02E81-47DB-4306-B905-F260903E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2EC5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ED2EC5"/>
    <w:pPr>
      <w:spacing w:before="100" w:beforeAutospacing="1" w:after="100" w:afterAutospacing="1" w:line="240" w:lineRule="auto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Simon Beáta</cp:lastModifiedBy>
  <cp:revision>1</cp:revision>
  <dcterms:created xsi:type="dcterms:W3CDTF">2020-07-15T09:26:00Z</dcterms:created>
  <dcterms:modified xsi:type="dcterms:W3CDTF">2020-07-15T09:26:00Z</dcterms:modified>
</cp:coreProperties>
</file>