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Hencse Község Önkormányzata Képviselő-testületének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2/2021. (III.</w:t>
      </w:r>
      <w:r>
        <w:rPr>
          <w:rFonts w:cs="Times New Roman" w:ascii="Times New Roman" w:hAnsi="Times New Roman"/>
          <w:b/>
          <w:bCs/>
          <w:sz w:val="24"/>
          <w:szCs w:val="24"/>
        </w:rPr>
        <w:t>12.</w:t>
      </w:r>
      <w:r>
        <w:rPr>
          <w:rFonts w:cs="Times New Roman" w:ascii="Times New Roman" w:hAnsi="Times New Roman"/>
          <w:b/>
          <w:bCs/>
          <w:sz w:val="24"/>
          <w:szCs w:val="24"/>
        </w:rPr>
        <w:t>) önkormányzati rendelete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az önkormányzat 2021. évi költségvetéséről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Hencse Község Polgármestere a katasztrófavédelemről és a hozzá kapcsolódó egyes törvények módosításáról szóló 2011. évi CXXVIII. törvény 46. § (4) bekezdésben kapott felhatalmazása alapján a 27/2021. (I. 29.) Korm. rendelettel kihirdetett veszélyhelyzetre figyelemmel Hencse Községi Önkormányzata Képviselő-testülete feladat- és hatáskörében eljárva, valamint az Alaptörvény 32. cikk (2) bekezdésében meghatározott eredeti jogalkotói hatáskörében, az Alaptörvény 32. cikk (1) bekezdés f) pontjában meghatározott feladatkörében eljárva Hencse Községi Önkormányzata 2021. évi költségvetéséről a következőket rendeli el.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I.fejezet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RENDELKEZÉSEK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rendelet hatálya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hatálya a képviselő-testületre és annak szerveire terjed ki. </w:t>
      </w:r>
    </w:p>
    <w:p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meghatározza a kötelező és önként vállalt feladatok ellátásához szükséges bevételeket és kiadásokat, figyelemmel a 2021. évi gazdálkodás főbb szabályaira.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címrendje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  <w:lang w:eastAsia="en-US"/>
        </w:rPr>
        <w:t>Hencse Község Polgárestere</w:t>
      </w:r>
      <w:r>
        <w:rPr>
          <w:rFonts w:cs="Times New Roman" w:ascii="Times New Roman" w:hAnsi="Times New Roman"/>
          <w:sz w:val="24"/>
          <w:szCs w:val="24"/>
        </w:rPr>
        <w:t xml:space="preserve"> a címrendet az alábbiak szerint állapítja meg.</w:t>
      </w:r>
    </w:p>
    <w:p>
      <w:pPr>
        <w:pStyle w:val="NoSpacing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 Hencse Község Önkormányzata önálló címet alkot.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  <w:lang w:eastAsia="en-US"/>
        </w:rPr>
        <w:t>Hencse Község Polgárestere</w:t>
      </w:r>
      <w:r>
        <w:rPr>
          <w:rFonts w:cs="Times New Roman" w:ascii="Times New Roman" w:hAnsi="Times New Roman"/>
          <w:sz w:val="24"/>
          <w:szCs w:val="24"/>
        </w:rPr>
        <w:t xml:space="preserve"> az önkormányzat és költségvetési szerve együttes 2021. évi költségvetését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0" w:name="_Hlk2605982"/>
      <w:r>
        <w:rPr>
          <w:rFonts w:cs="Times New Roman" w:ascii="Times New Roman" w:hAnsi="Times New Roman"/>
          <w:b/>
          <w:sz w:val="24"/>
          <w:szCs w:val="24"/>
        </w:rPr>
        <w:t>58.784.808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Ft összes költségvetési bevétellel,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58.784.808 Ft összes költségvetési kiadással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Ezen belül:  </w:t>
      </w:r>
    </w:p>
    <w:p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a működési célú bevételt</w:t>
        <w:tab/>
        <w:tab/>
        <w:tab/>
        <w:tab/>
        <w:tab/>
        <w:tab/>
        <w:t>34.738.064 Ft-ban</w:t>
      </w:r>
    </w:p>
    <w:p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felhalmozás célú bevétel</w:t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</w:r>
      <w:r>
        <w:rPr>
          <w:rFonts w:cs="Times New Roman" w:ascii="Times New Roman" w:hAnsi="Times New Roman"/>
          <w:color w:val="auto"/>
          <w:sz w:val="24"/>
          <w:szCs w:val="24"/>
        </w:rPr>
        <w:t>24.046.744</w:t>
      </w:r>
      <w:r>
        <w:rPr>
          <w:rFonts w:cs="Times New Roman" w:ascii="Times New Roman" w:hAnsi="Times New Roman"/>
          <w:sz w:val="24"/>
          <w:szCs w:val="24"/>
        </w:rPr>
        <w:t xml:space="preserve">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előző évi pénzmaradvány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</w:t>
        <w:tab/>
        <w:tab/>
        <w:tab/>
        <w:tab/>
        <w:tab/>
        <w:tab/>
        <w:tab/>
        <w:tab/>
        <w:tab/>
        <w:t>17.526.744 Ft-ban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felhalmozási</w:t>
        <w:tab/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    </w:t>
        <w:tab/>
        <w:tab/>
        <w:t xml:space="preserve">    0 Ft-ban</w:t>
        <w:tab/>
        <w:t xml:space="preserve">     </w:t>
        <w:tab/>
        <w:t xml:space="preserve">  </w:t>
        <w:tab/>
        <w:tab/>
        <w:tab/>
        <w:tab/>
        <w:tab/>
        <w:t xml:space="preserve"> 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 célú kiadásokat</w:t>
        <w:tab/>
        <w:tab/>
        <w:tab/>
        <w:tab/>
        <w:tab/>
        <w:tab/>
        <w:tab/>
        <w:t>58.784.808 Ft-ban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ebből: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személyi juttatások kiadásait</w:t>
        <w:tab/>
        <w:tab/>
        <w:tab/>
        <w:t xml:space="preserve">         </w:t>
        <w:tab/>
        <w:t>19.733.029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munkaadót terhelő járulékokat </w:t>
        <w:tab/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2.560.054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dologi kiadásokat</w:t>
        <w:tab/>
        <w:tab/>
        <w:tab/>
        <w:tab/>
        <w:tab/>
        <w:t>9.428.819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az ellátottak pénzbeli juttatásait</w:t>
        <w:tab/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10.405.000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egyéb működési célú kiadásokat</w:t>
        <w:tab/>
        <w:tab/>
        <w:tab/>
        <w:tab/>
      </w:r>
      <w:r>
        <w:rPr>
          <w:rFonts w:cs="Times New Roman" w:ascii="Times New Roman" w:hAnsi="Times New Roman"/>
          <w:bCs/>
          <w:sz w:val="24"/>
          <w:szCs w:val="24"/>
        </w:rPr>
        <w:t xml:space="preserve">15.569.815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Áht.-n belüli megelőlegezések kiadásai</w:t>
        <w:tab/>
        <w:tab/>
        <w:t xml:space="preserve">            1.088.091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felhalmozás célú kiadásokat</w:t>
        <w:tab/>
        <w:tab/>
        <w:tab/>
        <w:tab/>
        <w:t xml:space="preserve">           0 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bevételi és kiadási főösszegének mérlegszerű bemutatását az </w:t>
      </w:r>
      <w:r>
        <w:rPr>
          <w:rFonts w:cs="Times New Roman" w:ascii="Times New Roman" w:hAnsi="Times New Roman"/>
          <w:b/>
          <w:bCs/>
          <w:sz w:val="24"/>
          <w:szCs w:val="24"/>
        </w:rPr>
        <w:t>1.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bevételeit részletes bontásban kötelező és önként vállalt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2. sz. melléklet</w:t>
      </w:r>
      <w:r>
        <w:rPr>
          <w:rFonts w:cs="Times New Roman" w:ascii="Times New Roman" w:hAnsi="Times New Roman"/>
          <w:sz w:val="24"/>
          <w:szCs w:val="24"/>
        </w:rPr>
        <w:t xml:space="preserve">, kormányzati funkciók szerinti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>4 sz.</w:t>
      </w:r>
      <w:r>
        <w:rPr>
          <w:rFonts w:cs="Times New Roman" w:ascii="Times New Roman" w:hAnsi="Times New Roman"/>
          <w:sz w:val="24"/>
          <w:szCs w:val="24"/>
        </w:rPr>
        <w:t xml:space="preserve"> melléklet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kiadásait elkülönítetten, jogcímenkénti bontásban kötelező, önként vállalt és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3. sz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melléklet</w:t>
      </w:r>
      <w:r>
        <w:rPr>
          <w:rFonts w:cs="Times New Roman" w:ascii="Times New Roman" w:hAnsi="Times New Roman"/>
          <w:sz w:val="24"/>
          <w:szCs w:val="24"/>
        </w:rPr>
        <w:t>, kormányzati funkciók szerint bontásban 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5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6. sz. melléklet </w:t>
      </w:r>
      <w:r>
        <w:rPr>
          <w:rFonts w:cs="Times New Roman" w:ascii="Times New Roman" w:hAnsi="Times New Roman"/>
          <w:sz w:val="24"/>
          <w:szCs w:val="24"/>
        </w:rPr>
        <w:t>tartalmazza.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költségvetési tartaléka </w:t>
      </w:r>
      <w:r>
        <w:rPr>
          <w:b/>
          <w:sz w:val="24"/>
          <w:szCs w:val="24"/>
        </w:rPr>
        <w:t xml:space="preserve">13.481.932 </w:t>
      </w:r>
      <w:r>
        <w:rPr>
          <w:rFonts w:cs="Times New Roman" w:ascii="Times New Roman" w:hAnsi="Times New Roman"/>
          <w:b/>
          <w:bCs/>
          <w:sz w:val="24"/>
          <w:szCs w:val="24"/>
        </w:rPr>
        <w:t>Ft.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költségvetési szervének létszámkeretét a </w:t>
      </w:r>
      <w:r>
        <w:rPr>
          <w:rFonts w:cs="Times New Roman" w:ascii="Times New Roman" w:hAnsi="Times New Roman"/>
          <w:b/>
          <w:bCs/>
          <w:sz w:val="24"/>
          <w:szCs w:val="24"/>
        </w:rPr>
        <w:t>7.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adósságot keletkeztető ügyletekből és kezességvállalásokból származó kötelezettségeit és a Magyarország gazdasági stabilitásáról szóló 2011. évi CXCIV. törvény szerinti saját bevételeit a </w:t>
      </w:r>
      <w:r>
        <w:rPr>
          <w:rFonts w:cs="Times New Roman" w:ascii="Times New Roman" w:hAnsi="Times New Roman"/>
          <w:b/>
          <w:bCs/>
          <w:sz w:val="24"/>
          <w:szCs w:val="24"/>
        </w:rPr>
        <w:t>10.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3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bevételi többlet kezelése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gazdálkodási év során keletkezett bevételi többlet felhasználásáról a képviselő-testület annak teljesülését követően esetenként dönt.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Hivatal a jóváhagyott bevételi előirányzatain felüli többletbevételét az irányító szerv egyidejű tájékoztatásával, a tényleges többletnek megfelelő összegű, saját hatáskörű előirányzat-módosítás után használja fel.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és céltartalék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  <w:lang w:eastAsia="en-US"/>
        </w:rPr>
        <w:t>Hencse Község Polgárestere</w:t>
      </w:r>
      <w:r>
        <w:rPr>
          <w:rFonts w:cs="Times New Roman" w:ascii="Times New Roman" w:hAnsi="Times New Roman"/>
          <w:sz w:val="24"/>
          <w:szCs w:val="24"/>
        </w:rPr>
        <w:t xml:space="preserve"> az önkormányzat </w:t>
      </w:r>
      <w:r>
        <w:rPr>
          <w:rFonts w:cs="Times New Roman" w:ascii="Times New Roman" w:hAnsi="Times New Roman"/>
          <w:b/>
          <w:bCs/>
          <w:sz w:val="24"/>
          <w:szCs w:val="24"/>
        </w:rPr>
        <w:t>általános tartalékát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1.000.000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Ft </w:t>
      </w:r>
      <w:r>
        <w:rPr>
          <w:rFonts w:cs="Times New Roman" w:ascii="Times New Roman" w:hAnsi="Times New Roman"/>
          <w:sz w:val="24"/>
          <w:szCs w:val="24"/>
        </w:rPr>
        <w:t>összegben,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cél tartalékát 12.481.932 Ft </w:t>
      </w:r>
      <w:r>
        <w:rPr>
          <w:rFonts w:cs="Times New Roman" w:ascii="Times New Roman" w:hAnsi="Times New Roman"/>
          <w:sz w:val="24"/>
          <w:szCs w:val="24"/>
        </w:rPr>
        <w:t>összegben állapítja meg. A céltartalék kizárólag előre nem látható esetekben – belvízmentesítés, viharkár elhárítás stb. – használható fel. A céltartalék felhasználásáról - a képviselő-testület előtti utólagos beszámolási kötelezettséggel – a polgármester d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önt.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általános tartalék felhasználásáról a képviselő-testület az erre vonatkozó igény felmerülésekor dönt.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Többéves kihatással járó döntések, európai uniós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programok, projektek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képviselő-testület többéves kihatással járó feladatról, ill. európai uniós forrásból megvalósuló programok, projektek tárgyában nem döntött.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Előirányzat- felhasználási ütemterv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költségvetés bevételi és kiadási előirányzatainak felhasználási ütemtervét havi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8. sz. melléklet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Támogatások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által adott közvetlen támogatásokat tartalmazó kimutatást e rendelet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9. sz. melléklete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III. 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végrehajtásának szabályai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Indent2"/>
        <w:ind w:left="0" w:hanging="0"/>
        <w:rPr/>
      </w:pPr>
      <w:r>
        <w:rPr>
          <w:sz w:val="24"/>
          <w:szCs w:val="24"/>
        </w:rPr>
        <w:t>(1) A képviselő-testület és szervei szervezeti és működési szabályzatáról szóló önkormányzati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BodyTextIndent2"/>
        <w:rPr/>
      </w:pPr>
      <w:r>
        <w:rPr>
          <w:sz w:val="24"/>
          <w:szCs w:val="24"/>
        </w:rPr>
        <w:t>(2)Az átruházott hatáskörben hozott döntések a későbbi években a képviselő-testület által jóváhagyottnál nagyobb többletkiadással nem járhatnak.</w:t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rPr/>
      </w:pPr>
      <w:r>
        <w:rPr>
          <w:sz w:val="24"/>
          <w:szCs w:val="24"/>
        </w:rPr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>
      <w:pPr>
        <w:pStyle w:val="BodyTextIndent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rPr/>
      </w:pPr>
      <w:r>
        <w:rPr>
          <w:sz w:val="24"/>
          <w:szCs w:val="24"/>
        </w:rPr>
        <w:t>(4) Az általános tartalék előirányzaton belül a költségvetési évet tekintve összesen 500.000 Ft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felhasználását a képviselő-testület – a teljesülést követően negyedévenkénti beszámolási kötelezettséggel – a polgármester hatáskörébe utalja.</w:t>
      </w:r>
    </w:p>
    <w:p>
      <w:pPr>
        <w:pStyle w:val="Normal"/>
        <w:ind w:left="36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11. §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/>
      </w:pPr>
      <w:r>
        <w:rPr>
          <w:sz w:val="24"/>
          <w:szCs w:val="24"/>
        </w:rPr>
        <w:t>(1) A Hivatal éves költségvetésének végrehajtásáért, a gazdálkodás jogszerűségéért, a takarékosság érvényesítéséért, a bevételek növeléséért az alapfeladatok sérelme nélkül a jegyző a felelős.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12. §.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3"/>
        <w:ind w:left="0" w:hanging="0"/>
        <w:rPr/>
      </w:pPr>
      <w:r>
        <w:rPr>
          <w:sz w:val="24"/>
          <w:szCs w:val="24"/>
        </w:rPr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/>
      </w:pPr>
      <w:r>
        <w:rPr>
          <w:sz w:val="24"/>
          <w:szCs w:val="24"/>
        </w:rPr>
        <w:t>(2) Az (1) bekezdésben nem szereplő központi pótelőirányzatok felosztásáról és a Hivatal saját hatáskörben kezdeményezett rendelet módosításáról a képviselő testület az (1) bekezdésben foglalt módon dönt.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A költségvetési szerv előirányzat-módosításának szabályai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13. §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(1) Az önkormányzat és a költségvetési szerv bevételi és kiadási előirányzatai év közben megváltoztathatók az előirányzat módosításával. Az előirányzatok megváltoztatása e költségvetési rendeletben meghatározottak szerint történik.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(2) A költségvetési szerv saját hatáskörű előirányzat módosítást csak abban az esetben hajthat végre, ha a személyi juttatások és/vagy a munkaadót terhelő járulék előirányzatból dologi kiadásokra csoportosít át. Az átcsoportosítást a képviselő-testület rendelet-módosításban hagyja jóvá. </w:t>
      </w:r>
    </w:p>
    <w:p>
      <w:pPr>
        <w:pStyle w:val="Normal"/>
        <w:tabs>
          <w:tab w:val="clear" w:pos="708"/>
          <w:tab w:val="left" w:pos="170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(3) A költségvetési szervek a jóváhagyott bevételi előirányzataikon felüli többletbevételeiket a költségvetési rendeletbe történő átvezetése, annak módosítása után használhatják fel.  </w:t>
      </w:r>
    </w:p>
    <w:p>
      <w:pPr>
        <w:pStyle w:val="Normal"/>
        <w:tabs>
          <w:tab w:val="clear" w:pos="708"/>
          <w:tab w:val="decimal" w:pos="283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behzsa"/>
        <w:ind w:left="0" w:hanging="0"/>
        <w:rPr/>
      </w:pPr>
      <w:r>
        <w:rPr>
          <w:sz w:val="24"/>
          <w:szCs w:val="24"/>
        </w:rPr>
        <w:t>(4) A jóváhagyott kiemelt előirányzatokon belül az átcsoportosításról a költségvetési szerv vezetője saját hatáskörben dönt.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(5) A költségvetési szerv a saját hatáskörű előirányzat módosításokról az irányító szervét félévenként tájékoztatja.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(6) Az Államháztartásról szóló 2011. évi CXCV. törvény 34 § (2) bekezdése alapján a képviselő-testület felhatalmazza a polgármestert feladatonként nettó 15 millió forint értékhatárig az önkormányzat bevételeinek és kiadásainak módosítására, és a kiadási előirányzatok közötti átcsoportosításra. A módosítást a költségvetési rendelet módosítása során át kell vezetni.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(7) Év közben az önkormányzat számára meghatározott kötött felhasználású pótelőirányzat felhasználásáról a polgármester dönt. Az előirányzat módosítást a költségvetési rendelet módosításakor át kell vezetni.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Létszám- és bérgazdálkodással kapcsolatos előírások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14. §</w:t>
      </w:r>
    </w:p>
    <w:p>
      <w:pPr>
        <w:pStyle w:val="Normal"/>
        <w:jc w:val="both"/>
        <w:rPr>
          <w:b/>
          <w:b/>
          <w:bCs/>
          <w:color w:val="FF00FF"/>
          <w:sz w:val="24"/>
          <w:szCs w:val="24"/>
        </w:rPr>
      </w:pPr>
      <w:r>
        <w:rPr>
          <w:b/>
          <w:bCs/>
          <w:color w:val="FF00FF"/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(1) A polgármester önálló létszám- és bérgazdálkodási jogkörében eljárva az engedélyezett létszám (álláshely)-keretet a tényleges foglalkoztatás során köteles betartani.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(2)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Támogatási szerződés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15. §.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</w:t>
      </w:r>
      <w:r>
        <w:rPr>
          <w:b/>
          <w:bCs/>
          <w:sz w:val="24"/>
          <w:szCs w:val="24"/>
        </w:rPr>
        <w:t xml:space="preserve">államháztartáson kívülre nyújtott </w:t>
      </w:r>
      <w:r>
        <w:rPr>
          <w:sz w:val="24"/>
          <w:szCs w:val="24"/>
        </w:rPr>
        <w:t xml:space="preserve">támogatások esetében a 4/2018. (III.08.) önkormányzati rendel szerint kell eljárni.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16. §.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Az önállóan működő és gazdálkodó költségvetési szerv költségvetési támogatását a képviselő-testület a költségvetési szervek pénzellátási rendje szerint biztosítja. </w:t>
      </w:r>
    </w:p>
    <w:p>
      <w:pPr>
        <w:pStyle w:val="Normal"/>
        <w:jc w:val="both"/>
        <w:rPr/>
      </w:pPr>
      <w:r>
        <w:rPr>
          <w:sz w:val="24"/>
          <w:szCs w:val="24"/>
        </w:rPr>
        <w:t>Az egyéb szervezetek részére nyújtott támogatások évi két egyenlő részletekben kerüljenek kiutalásra.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Szolgáltatási szerződés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17. §.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§-ban meghatározott feltételekkel vehető igénybe.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(2) A szolgáltatási szerződést írásban kell megkötni.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(3) A szerződéskötés feltétele, hogy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9" w:hanging="334"/>
        <w:jc w:val="both"/>
        <w:rPr/>
      </w:pPr>
      <w:r>
        <w:rPr>
          <w:sz w:val="24"/>
          <w:szCs w:val="24"/>
        </w:rPr>
        <w:t>a.) a költségvetési szerv az adott feladat ellátáshoz megfelelő szakértelemmel rendelkező személyt nem foglalkoztat, vagy</w:t>
      </w:r>
    </w:p>
    <w:p>
      <w:pPr>
        <w:pStyle w:val="Normal"/>
        <w:ind w:left="709" w:hanging="334"/>
        <w:jc w:val="both"/>
        <w:rPr/>
      </w:pPr>
      <w:r>
        <w:rPr>
          <w:sz w:val="24"/>
          <w:szCs w:val="24"/>
        </w:rPr>
        <w:t>b.) eseti, nem rendszeres jellegű feladat ellátása szükséges és a költségvetési szerven belül a feladat ellátásához megfelelő szakértelemmel rendelkező személy átmenetileg nem áll rendelkezésre.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jc w:val="both"/>
        <w:rPr/>
      </w:pPr>
      <w:r>
        <w:rPr>
          <w:sz w:val="24"/>
          <w:szCs w:val="24"/>
        </w:rPr>
        <w:t>Jogszabályban vagy a költségvetési szerv szervezeti és működési szabályzatában meghatározott vezetői feladat ellátására szolgáltatási szerződés nem köthető.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(5) A szerződésnek tartalmaznia kell különösen:</w:t>
      </w:r>
    </w:p>
    <w:p>
      <w:pPr>
        <w:pStyle w:val="Normal"/>
        <w:ind w:left="37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75" w:hanging="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a.) az ellátandó feladatot,</w:t>
      </w:r>
    </w:p>
    <w:p>
      <w:pPr>
        <w:pStyle w:val="Normal"/>
        <w:ind w:left="375" w:hanging="0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b.) a díjazás mértékét,</w:t>
      </w:r>
    </w:p>
    <w:p>
      <w:pPr>
        <w:pStyle w:val="Normal"/>
        <w:ind w:left="709" w:hanging="709"/>
        <w:jc w:val="both"/>
        <w:rPr/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c.) részletes utalást arra, hogy a (3) bekezdésben írt feltétel mely körülményre tekintettel áll fenn,</w:t>
      </w:r>
    </w:p>
    <w:p>
      <w:pPr>
        <w:pStyle w:val="Normal"/>
        <w:ind w:left="709" w:hanging="283"/>
        <w:jc w:val="both"/>
        <w:rPr/>
      </w:pPr>
      <w:r>
        <w:rPr>
          <w:sz w:val="24"/>
          <w:szCs w:val="24"/>
        </w:rPr>
        <w:t>d.) a szerződés időtartamát,</w:t>
      </w:r>
    </w:p>
    <w:p>
      <w:pPr>
        <w:pStyle w:val="Normal"/>
        <w:ind w:left="709" w:hanging="283"/>
        <w:jc w:val="both"/>
        <w:rPr/>
      </w:pPr>
      <w:r>
        <w:rPr>
          <w:sz w:val="24"/>
          <w:szCs w:val="24"/>
        </w:rPr>
        <w:t>e.) szervezettel kötendő szerződés esetén azt, hogy a szervezet részéről személy szerint ki(k) köteles(ek) a feladat ellátására, valamint,</w:t>
      </w:r>
    </w:p>
    <w:p>
      <w:pPr>
        <w:pStyle w:val="Normal"/>
        <w:ind w:left="709" w:hanging="283"/>
        <w:jc w:val="both"/>
        <w:rPr/>
      </w:pPr>
      <w:r>
        <w:rPr>
          <w:sz w:val="24"/>
          <w:szCs w:val="24"/>
        </w:rPr>
        <w:t>f.) a teljesítés igazolására felhatalmazott személy megnevezését.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Önkormányzati biztos kirendelése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18. §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color w:val="000000"/>
          <w:sz w:val="24"/>
          <w:szCs w:val="24"/>
        </w:rPr>
        <w:t>a képviselő-testület</w:t>
      </w:r>
      <w:r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>az Áht. 71. §. (2) és (3) bekezdésében</w:t>
      </w:r>
      <w:r>
        <w:rPr>
          <w:sz w:val="24"/>
          <w:szCs w:val="24"/>
        </w:rPr>
        <w:t xml:space="preserve"> foglalt hatáskörrel rendelkező önkormányzati biztost jelöl ki. </w:t>
      </w:r>
    </w:p>
    <w:p>
      <w:pPr>
        <w:pStyle w:val="Normal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(3) Ha a polgármester a kötelezettségének nem tesz eleget, a biztos kirendelését indítványozhatja</w:t>
      </w:r>
    </w:p>
    <w:p>
      <w:pPr>
        <w:pStyle w:val="Normal"/>
        <w:ind w:firstLine="204"/>
        <w:jc w:val="both"/>
        <w:rPr/>
      </w:pPr>
      <w:r>
        <w:rPr>
          <w:i/>
          <w:iCs/>
          <w:sz w:val="24"/>
          <w:szCs w:val="24"/>
        </w:rPr>
        <w:t xml:space="preserve">a) </w:t>
      </w:r>
      <w:r>
        <w:rPr>
          <w:sz w:val="24"/>
          <w:szCs w:val="24"/>
        </w:rPr>
        <w:t>a helyi önkormányzat jegyzője a polgármesteren keresztül,</w:t>
      </w:r>
    </w:p>
    <w:p>
      <w:pPr>
        <w:pStyle w:val="Normal"/>
        <w:ind w:firstLine="204"/>
        <w:jc w:val="both"/>
        <w:rPr/>
      </w:pPr>
      <w:r>
        <w:rPr>
          <w:i/>
          <w:iCs/>
          <w:sz w:val="24"/>
          <w:szCs w:val="24"/>
        </w:rPr>
        <w:t xml:space="preserve">b) </w:t>
      </w:r>
      <w:r>
        <w:rPr>
          <w:sz w:val="24"/>
          <w:szCs w:val="24"/>
        </w:rPr>
        <w:t>a helyi önkormányzat képviselő-testülete által megbízott könyvvizsgáló,</w:t>
      </w:r>
    </w:p>
    <w:p>
      <w:pPr>
        <w:pStyle w:val="Normal"/>
        <w:ind w:firstLine="204"/>
        <w:jc w:val="both"/>
        <w:rPr/>
      </w:pPr>
      <w:r>
        <w:rPr>
          <w:i/>
          <w:iCs/>
          <w:sz w:val="24"/>
          <w:szCs w:val="24"/>
        </w:rPr>
        <w:t xml:space="preserve">c) </w:t>
      </w:r>
      <w:r>
        <w:rPr>
          <w:sz w:val="24"/>
          <w:szCs w:val="24"/>
        </w:rPr>
        <w:t>a költségvetési szerv vezetője.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(5) Amennyiben az önkormányzatnál időközben adósságrendezési eljárást kezdeményeztek az általa fenntartott költségvetési szervek körében, az önkormányzati biztos további tevékenységére az alábbi szabályok alkalmazandók:</w:t>
      </w:r>
    </w:p>
    <w:p>
      <w:pPr>
        <w:pStyle w:val="Szvegtrzsbehzsa"/>
        <w:ind w:left="0" w:firstLine="42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behzsa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behzsa"/>
        <w:ind w:left="0" w:firstLine="426"/>
        <w:rPr/>
      </w:pPr>
      <w:r>
        <w:rPr>
          <w:sz w:val="24"/>
          <w:szCs w:val="24"/>
        </w:rPr>
        <w:t>a.) az önkormányzati biztos tevékenységéről a képviselő-testületnek havonta köteles beszámolni,</w:t>
      </w:r>
    </w:p>
    <w:p>
      <w:pPr>
        <w:pStyle w:val="Szvegtrzsbehzsa"/>
        <w:ind w:left="0" w:firstLine="426"/>
        <w:rPr/>
      </w:pPr>
      <w:r>
        <w:rPr>
          <w:sz w:val="24"/>
          <w:szCs w:val="24"/>
        </w:rPr>
        <w:t>b.) az önkormányzati biztos haladéktalanul köteles tájékoztatni a polgármestert, ha a költségvetési szervvel szemben adósságrendezési eljárást kezdeményeztek.  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Szvegtrzsbehzsa"/>
        <w:ind w:left="0" w:firstLine="42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Pótköltségvetés, költségvetés módosítása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19. §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>
      <w:pPr>
        <w:pStyle w:val="Normal"/>
        <w:jc w:val="both"/>
        <w:rPr/>
      </w:pPr>
      <w:r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Záró és egyéb rendelkezések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20. §.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(2) Ez a rendelet a kihirdetését követő napon lép hatályba.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/>
      </w:pPr>
      <w:r>
        <w:rPr>
          <w:b w:val="false"/>
          <w:bCs w:val="false"/>
          <w:sz w:val="24"/>
          <w:szCs w:val="24"/>
        </w:rPr>
        <w:t xml:space="preserve">Hencse, 2021. március </w:t>
      </w:r>
      <w:r>
        <w:rPr>
          <w:b w:val="false"/>
          <w:bCs w:val="false"/>
          <w:sz w:val="24"/>
          <w:szCs w:val="24"/>
        </w:rPr>
        <w:t>12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BodyText3"/>
        <w:tabs>
          <w:tab w:val="clear" w:pos="2268"/>
        </w:tabs>
        <w:rPr/>
      </w:pPr>
      <w:r>
        <w:rPr>
          <w:b w:val="false"/>
          <w:bCs w:val="false"/>
          <w:sz w:val="24"/>
          <w:szCs w:val="24"/>
        </w:rPr>
        <w:t>Gelencsér János</w:t>
        <w:tab/>
        <w:t xml:space="preserve"> </w:t>
        <w:tab/>
        <w:tab/>
        <w:tab/>
        <w:tab/>
        <w:tab/>
        <w:t xml:space="preserve">    Dr. Barka Tamás </w:t>
      </w:r>
    </w:p>
    <w:p>
      <w:pPr>
        <w:pStyle w:val="BodyText3"/>
        <w:tabs>
          <w:tab w:val="clear" w:pos="2268"/>
        </w:tabs>
        <w:rPr/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polgármester</w:t>
        <w:tab/>
        <w:t xml:space="preserve">                                                        </w:t>
        <w:tab/>
        <w:tab/>
        <w:t xml:space="preserve">    </w:t>
        <w:tab/>
        <w:t>jegyző</w:t>
        <w:tab/>
      </w:r>
    </w:p>
    <w:p>
      <w:pPr>
        <w:pStyle w:val="BodyText3"/>
        <w:tabs>
          <w:tab w:val="clear" w:pos="2268"/>
        </w:tabs>
        <w:ind w:left="141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/>
      </w:pPr>
      <w:r>
        <w:rPr>
          <w:sz w:val="24"/>
          <w:szCs w:val="24"/>
        </w:rPr>
        <w:t>Kihirdetési záradék: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A rendelet kihirdetve: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2021. március </w:t>
      </w:r>
      <w:r>
        <w:rPr>
          <w:rFonts w:cs="Times New Roman" w:ascii="Times New Roman" w:hAnsi="Times New Roman"/>
          <w:sz w:val="24"/>
          <w:szCs w:val="24"/>
        </w:rPr>
        <w:t>12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2" w:name="_GoBack1"/>
      <w:bookmarkStart w:id="3" w:name="_GoBack1"/>
      <w:bookmarkEnd w:id="3"/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Dr. Barka Tamás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jegyző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7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4e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zvegtrzsbehzssalChar" w:customStyle="1">
    <w:name w:val="Szövegtörzs behúzással Char"/>
    <w:link w:val="Szvegtrzsbehzssal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2Char" w:customStyle="1">
    <w:name w:val="Szövegtörzs behúzással 2 Char"/>
    <w:link w:val="Szvegtrzsbehzssal2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3Char" w:customStyle="1">
    <w:name w:val="Szövegtörzs behúzással 3 Char"/>
    <w:link w:val="Szvegtrzsbehzssal3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3Char" w:customStyle="1">
    <w:name w:val="Szövegtörzs 3 Char"/>
    <w:link w:val="Szvegtrzs3"/>
    <w:uiPriority w:val="99"/>
    <w:qFormat/>
    <w:locked/>
    <w:rsid w:val="004f54ef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styleId="BuborkszvegChar" w:customStyle="1">
    <w:name w:val="Buborékszöveg Char"/>
    <w:link w:val="Buborkszveg"/>
    <w:uiPriority w:val="99"/>
    <w:semiHidden/>
    <w:qFormat/>
    <w:locked/>
    <w:rsid w:val="004f54ef"/>
    <w:rPr>
      <w:rFonts w:ascii="Tahoma" w:hAnsi="Tahoma" w:cs="Tahoma"/>
      <w:sz w:val="16"/>
      <w:szCs w:val="16"/>
      <w:lang w:eastAsia="hu-HU"/>
    </w:rPr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cf10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hu-HU" w:eastAsia="en-US" w:bidi="ar-SA"/>
    </w:rPr>
  </w:style>
  <w:style w:type="paragraph" w:styleId="Szvegtrzsbehzsa">
    <w:name w:val="Body Text Indent"/>
    <w:basedOn w:val="Normal"/>
    <w:link w:val="SzvegtrzsbehzssalChar"/>
    <w:uiPriority w:val="99"/>
    <w:rsid w:val="004f54ef"/>
    <w:pPr>
      <w:ind w:left="709" w:hanging="567"/>
      <w:jc w:val="both"/>
    </w:pPr>
    <w:rPr>
      <w:rFonts w:eastAsia="Calibri"/>
    </w:rPr>
  </w:style>
  <w:style w:type="paragraph" w:styleId="BodyTextIndent2">
    <w:name w:val="Body Text Indent 2"/>
    <w:basedOn w:val="Normal"/>
    <w:link w:val="Szvegtrzsbehzssal2Char"/>
    <w:uiPriority w:val="99"/>
    <w:qFormat/>
    <w:rsid w:val="004f54ef"/>
    <w:pPr>
      <w:ind w:left="426" w:hanging="426"/>
      <w:jc w:val="both"/>
    </w:pPr>
    <w:rPr>
      <w:rFonts w:eastAsia="Calibri"/>
    </w:rPr>
  </w:style>
  <w:style w:type="paragraph" w:styleId="BodyTextIndent3">
    <w:name w:val="Body Text Indent 3"/>
    <w:basedOn w:val="Normal"/>
    <w:link w:val="Szvegtrzsbehzssal3Char"/>
    <w:uiPriority w:val="99"/>
    <w:qFormat/>
    <w:rsid w:val="004f54ef"/>
    <w:pPr>
      <w:ind w:left="142" w:hanging="142"/>
      <w:jc w:val="both"/>
    </w:pPr>
    <w:rPr>
      <w:rFonts w:eastAsia="Calibri"/>
    </w:rPr>
  </w:style>
  <w:style w:type="paragraph" w:styleId="BodyText3">
    <w:name w:val="Body Text 3"/>
    <w:basedOn w:val="Normal"/>
    <w:link w:val="Szvegtrzs3Char"/>
    <w:uiPriority w:val="99"/>
    <w:qFormat/>
    <w:rsid w:val="004f54ef"/>
    <w:pPr>
      <w:tabs>
        <w:tab w:val="clear" w:pos="708"/>
        <w:tab w:val="left" w:pos="2268" w:leader="none"/>
      </w:tabs>
      <w:jc w:val="both"/>
    </w:pPr>
    <w:rPr>
      <w:rFonts w:eastAsia="Calibri"/>
      <w:b/>
      <w:bCs/>
    </w:rPr>
  </w:style>
  <w:style w:type="paragraph" w:styleId="ListParagraph">
    <w:name w:val="List Paragraph"/>
    <w:basedOn w:val="Normal"/>
    <w:uiPriority w:val="99"/>
    <w:qFormat/>
    <w:rsid w:val="004f54ef"/>
    <w:pPr>
      <w:ind w:left="720" w:hanging="0"/>
    </w:pPr>
    <w:rPr/>
  </w:style>
  <w:style w:type="paragraph" w:styleId="BalloonText">
    <w:name w:val="Balloon Text"/>
    <w:basedOn w:val="Normal"/>
    <w:link w:val="BuborkszvegChar"/>
    <w:uiPriority w:val="99"/>
    <w:semiHidden/>
    <w:qFormat/>
    <w:rsid w:val="004f54ef"/>
    <w:pPr/>
    <w:rPr>
      <w:rFonts w:ascii="Tahoma" w:hAnsi="Tahoma" w:eastAsia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semiHidden/>
    <w:unhideWhenUsed/>
    <w:rsid w:val="00ae3e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63FE6-2321-4D75-BAB6-06E28C9A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LibreOffice/7.0.3.1$Windows_X86_64 LibreOffice_project/d7547858d014d4cf69878db179d326fc3483e082</Application>
  <Pages>8</Pages>
  <Words>1615</Words>
  <Characters>11714</Characters>
  <CharactersWithSpaces>13399</CharactersWithSpaces>
  <Paragraphs>145</Paragraphs>
  <Company>Csokonyavisonta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2021-03-10T09:30:00Z</dcterms:created>
  <dc:creator>Körjegyzőség</dc:creator>
  <dc:description/>
  <dc:language>hu-HU</dc:language>
  <cp:lastModifiedBy/>
  <cp:lastPrinted>2019-03-13T09:28:00Z</cp:lastPrinted>
  <dcterms:modified xsi:type="dcterms:W3CDTF">2021-03-12T09:12:58Z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Csokonyavisonta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