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96F22" w14:textId="77777777" w:rsidR="00915210" w:rsidRPr="00A65AF0" w:rsidRDefault="00915210" w:rsidP="00915210">
      <w:pPr>
        <w:spacing w:after="120"/>
        <w:jc w:val="right"/>
        <w:rPr>
          <w:b/>
          <w:i/>
        </w:rPr>
      </w:pPr>
      <w:r w:rsidRPr="00A65AF0">
        <w:rPr>
          <w:b/>
          <w:bCs/>
          <w:i/>
        </w:rPr>
        <w:t xml:space="preserve">4. </w:t>
      </w:r>
      <w:r w:rsidRPr="00A65AF0">
        <w:rPr>
          <w:b/>
          <w:i/>
        </w:rPr>
        <w:t>függelék:</w:t>
      </w:r>
    </w:p>
    <w:p w14:paraId="6E09573F" w14:textId="77777777" w:rsidR="00915210" w:rsidRPr="00A65AF0" w:rsidRDefault="00915210" w:rsidP="00915210">
      <w:pPr>
        <w:jc w:val="center"/>
        <w:rPr>
          <w:b/>
        </w:rPr>
      </w:pPr>
      <w:r w:rsidRPr="00A65AF0">
        <w:rPr>
          <w:b/>
        </w:rPr>
        <w:t xml:space="preserve">Zajterhelési határértékek a </w:t>
      </w:r>
      <w:bookmarkStart w:id="0" w:name="pr1"/>
      <w:r w:rsidRPr="00A65AF0">
        <w:rPr>
          <w:b/>
        </w:rPr>
        <w:t xml:space="preserve">27/2008. (XII. 3.) </w:t>
      </w:r>
      <w:proofErr w:type="spellStart"/>
      <w:r w:rsidRPr="00A65AF0">
        <w:rPr>
          <w:b/>
        </w:rPr>
        <w:t>KvVM</w:t>
      </w:r>
      <w:proofErr w:type="spellEnd"/>
      <w:r w:rsidRPr="00A65AF0">
        <w:rPr>
          <w:b/>
        </w:rPr>
        <w:t>-EüM együttes rendelet</w:t>
      </w:r>
      <w:bookmarkStart w:id="1" w:name="pr78"/>
      <w:bookmarkStart w:id="2" w:name="pr2"/>
      <w:bookmarkEnd w:id="0"/>
      <w:bookmarkEnd w:id="1"/>
      <w:bookmarkEnd w:id="2"/>
      <w:r w:rsidRPr="00A65AF0">
        <w:rPr>
          <w:b/>
        </w:rPr>
        <w:t>alapján</w:t>
      </w:r>
    </w:p>
    <w:p w14:paraId="7764FB4D" w14:textId="77777777" w:rsidR="00915210" w:rsidRPr="00A65AF0" w:rsidRDefault="00915210" w:rsidP="00915210">
      <w:pPr>
        <w:ind w:left="150" w:right="150"/>
        <w:jc w:val="center"/>
      </w:pPr>
      <w:r w:rsidRPr="00A65AF0">
        <w:rPr>
          <w:b/>
          <w:bCs/>
          <w:i/>
          <w:iCs/>
        </w:rPr>
        <w:t>Üzemi és szabadidős építményektől származó zaj terhelési határértékei a zajtól védendő területeken</w:t>
      </w:r>
    </w:p>
    <w:tbl>
      <w:tblPr>
        <w:tblW w:w="9256" w:type="dxa"/>
        <w:tblInd w:w="1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993"/>
        <w:gridCol w:w="1043"/>
        <w:gridCol w:w="1107"/>
        <w:gridCol w:w="561"/>
      </w:tblGrid>
      <w:tr w:rsidR="00915210" w:rsidRPr="00A65AF0" w14:paraId="482410B8" w14:textId="77777777" w:rsidTr="008F767C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809BD11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bookmarkStart w:id="3" w:name="pr79"/>
            <w:bookmarkEnd w:id="3"/>
            <w:r w:rsidRPr="00A65AF0">
              <w:rPr>
                <w:sz w:val="20"/>
                <w:szCs w:val="20"/>
              </w:rPr>
              <w:br/>
              <w:t>Sor-</w:t>
            </w:r>
            <w:r w:rsidRPr="00A65AF0"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A73E5F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br/>
            </w:r>
            <w:r w:rsidRPr="00A65AF0">
              <w:rPr>
                <w:sz w:val="20"/>
                <w:szCs w:val="20"/>
              </w:rPr>
              <w:br/>
              <w:t>Zajtól védendő terület</w:t>
            </w:r>
          </w:p>
        </w:tc>
        <w:tc>
          <w:tcPr>
            <w:tcW w:w="2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3108C78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Határérték (LTH) az LAM</w:t>
            </w:r>
            <w:r w:rsidRPr="00A65AF0">
              <w:rPr>
                <w:sz w:val="20"/>
                <w:szCs w:val="20"/>
                <w:vertAlign w:val="subscript"/>
              </w:rPr>
              <w:br/>
            </w:r>
            <w:r w:rsidRPr="00A65AF0">
              <w:rPr>
                <w:sz w:val="20"/>
                <w:szCs w:val="20"/>
              </w:rPr>
              <w:t xml:space="preserve">megítélési szintre* </w:t>
            </w:r>
            <w:r w:rsidRPr="00A65AF0">
              <w:rPr>
                <w:sz w:val="20"/>
                <w:szCs w:val="20"/>
              </w:rPr>
              <w:br/>
              <w:t>(dB)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E995C9" w14:textId="77777777" w:rsidR="00915210" w:rsidRPr="00A65AF0" w:rsidRDefault="00915210" w:rsidP="008F767C"/>
        </w:tc>
      </w:tr>
      <w:tr w:rsidR="00915210" w:rsidRPr="00A65AF0" w14:paraId="23C4C764" w14:textId="77777777" w:rsidTr="008F767C">
        <w:trPr>
          <w:trHeight w:val="283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A22E60" w14:textId="77777777" w:rsidR="00915210" w:rsidRPr="00A65AF0" w:rsidRDefault="00915210" w:rsidP="008F767C">
            <w:pPr>
              <w:rPr>
                <w:sz w:val="20"/>
                <w:szCs w:val="20"/>
              </w:rPr>
            </w:pPr>
            <w:bookmarkStart w:id="4" w:name="pr80"/>
            <w:bookmarkEnd w:id="4"/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D9CFF3" w14:textId="77777777" w:rsidR="00915210" w:rsidRPr="00A65AF0" w:rsidRDefault="00915210" w:rsidP="008F767C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10B642A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nappal</w:t>
            </w:r>
            <w:r w:rsidRPr="00A65AF0">
              <w:rPr>
                <w:sz w:val="20"/>
                <w:szCs w:val="20"/>
              </w:rPr>
              <w:br/>
              <w:t>06-22 óra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D0E4C4B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 xml:space="preserve">éjjel </w:t>
            </w:r>
            <w:r w:rsidRPr="00A65AF0">
              <w:rPr>
                <w:sz w:val="20"/>
                <w:szCs w:val="20"/>
              </w:rPr>
              <w:br/>
              <w:t>22-06 óra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19318" w14:textId="77777777" w:rsidR="00915210" w:rsidRPr="00A65AF0" w:rsidRDefault="00915210" w:rsidP="008F767C"/>
        </w:tc>
      </w:tr>
      <w:tr w:rsidR="00915210" w:rsidRPr="00A65AF0" w14:paraId="409C79BA" w14:textId="77777777" w:rsidTr="008F767C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F2203FB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bookmarkStart w:id="5" w:name="pr81"/>
            <w:bookmarkEnd w:id="5"/>
            <w:r w:rsidRPr="00A65AF0">
              <w:rPr>
                <w:sz w:val="20"/>
                <w:szCs w:val="20"/>
              </w:rPr>
              <w:t>1.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FFA2AA" w14:textId="77777777" w:rsidR="00915210" w:rsidRPr="00A65AF0" w:rsidRDefault="00915210" w:rsidP="008F767C">
            <w:pPr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Üdülőterület, különleges területek közül az egészségügyi területek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8103A42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45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197E266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35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53699" w14:textId="77777777" w:rsidR="00915210" w:rsidRPr="00A65AF0" w:rsidRDefault="00915210" w:rsidP="008F767C"/>
        </w:tc>
      </w:tr>
      <w:tr w:rsidR="00915210" w:rsidRPr="00A65AF0" w14:paraId="1999D965" w14:textId="77777777" w:rsidTr="008F767C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F6AEDC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bookmarkStart w:id="6" w:name="pr82"/>
            <w:bookmarkEnd w:id="6"/>
            <w:r w:rsidRPr="00A65AF0">
              <w:rPr>
                <w:sz w:val="20"/>
                <w:szCs w:val="20"/>
              </w:rPr>
              <w:t>2.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9F030B" w14:textId="77777777" w:rsidR="00915210" w:rsidRPr="00A65AF0" w:rsidRDefault="00915210" w:rsidP="008F767C">
            <w:pPr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Lakóterület (kertvárosias, falusias), különleges területek közül az oktatási, szociális építmények területe, a temetők, a zöldterület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E447DA8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4958CDE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9FDCA" w14:textId="77777777" w:rsidR="00915210" w:rsidRPr="00A65AF0" w:rsidRDefault="00915210" w:rsidP="008F767C"/>
        </w:tc>
      </w:tr>
      <w:tr w:rsidR="00915210" w:rsidRPr="00A65AF0" w14:paraId="06800548" w14:textId="77777777" w:rsidTr="008F767C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35B535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bookmarkStart w:id="7" w:name="pr83"/>
            <w:bookmarkStart w:id="8" w:name="pr84"/>
            <w:bookmarkEnd w:id="7"/>
            <w:bookmarkEnd w:id="8"/>
            <w:r w:rsidRPr="00A65AF0">
              <w:rPr>
                <w:sz w:val="20"/>
                <w:szCs w:val="20"/>
              </w:rPr>
              <w:t>4.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D7590F7" w14:textId="77777777" w:rsidR="00915210" w:rsidRPr="00A65AF0" w:rsidRDefault="00915210" w:rsidP="008F767C">
            <w:pPr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Gazdasági terület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2471DFD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60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56269C" w14:textId="77777777" w:rsidR="00915210" w:rsidRPr="00A65AF0" w:rsidRDefault="00915210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4153F" w14:textId="77777777" w:rsidR="00915210" w:rsidRPr="00A65AF0" w:rsidRDefault="00915210" w:rsidP="008F767C"/>
        </w:tc>
      </w:tr>
      <w:tr w:rsidR="00915210" w:rsidRPr="00A65AF0" w14:paraId="46DE00A1" w14:textId="77777777" w:rsidTr="008F767C">
        <w:tc>
          <w:tcPr>
            <w:tcW w:w="92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8574424" w14:textId="77777777" w:rsidR="00915210" w:rsidRPr="00A65AF0" w:rsidRDefault="00915210" w:rsidP="008F767C">
            <w:pPr>
              <w:rPr>
                <w:sz w:val="18"/>
                <w:szCs w:val="18"/>
              </w:rPr>
            </w:pPr>
            <w:bookmarkStart w:id="9" w:name="pr86"/>
            <w:bookmarkStart w:id="10" w:name="pr85"/>
            <w:bookmarkEnd w:id="9"/>
            <w:bookmarkEnd w:id="10"/>
            <w:r w:rsidRPr="00A65AF0">
              <w:rPr>
                <w:sz w:val="18"/>
                <w:szCs w:val="18"/>
              </w:rPr>
              <w:t xml:space="preserve">* </w:t>
            </w:r>
            <w:r w:rsidRPr="00A65AF0">
              <w:rPr>
                <w:i/>
                <w:iCs/>
                <w:sz w:val="20"/>
                <w:szCs w:val="20"/>
              </w:rPr>
              <w:t xml:space="preserve">Megjegyzés: </w:t>
            </w:r>
            <w:r w:rsidRPr="00A65AF0">
              <w:rPr>
                <w:sz w:val="18"/>
                <w:szCs w:val="18"/>
              </w:rPr>
              <w:t>Értelmezése az MSZ 18150-1 szabvány és az MSZ 15037 szabvány szerint.</w:t>
            </w:r>
          </w:p>
        </w:tc>
      </w:tr>
    </w:tbl>
    <w:p w14:paraId="4DCAFB87" w14:textId="77777777" w:rsidR="00915210" w:rsidRPr="00A65AF0" w:rsidRDefault="00915210" w:rsidP="00915210">
      <w:pPr>
        <w:spacing w:before="300" w:after="120"/>
        <w:ind w:left="147" w:right="147"/>
        <w:jc w:val="center"/>
      </w:pPr>
      <w:bookmarkStart w:id="11" w:name="pr100"/>
      <w:bookmarkEnd w:id="11"/>
      <w:r w:rsidRPr="00A65AF0">
        <w:rPr>
          <w:b/>
          <w:bCs/>
          <w:i/>
          <w:iCs/>
        </w:rPr>
        <w:t>A közlekedéstől származó zaj terhelési határértékei a zajtól védendő területeken</w:t>
      </w:r>
    </w:p>
    <w:tbl>
      <w:tblPr>
        <w:tblW w:w="9246" w:type="dxa"/>
        <w:tblInd w:w="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1780"/>
        <w:gridCol w:w="846"/>
        <w:gridCol w:w="773"/>
        <w:gridCol w:w="1081"/>
        <w:gridCol w:w="10"/>
        <w:gridCol w:w="1060"/>
        <w:gridCol w:w="1508"/>
        <w:gridCol w:w="1602"/>
      </w:tblGrid>
      <w:tr w:rsidR="00915210" w:rsidRPr="00A65AF0" w14:paraId="1215BB15" w14:textId="77777777" w:rsidTr="008F767C">
        <w:trPr>
          <w:trHeight w:val="321"/>
        </w:trPr>
        <w:tc>
          <w:tcPr>
            <w:tcW w:w="924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F20381D" w14:textId="77777777" w:rsidR="00915210" w:rsidRPr="00A65AF0" w:rsidRDefault="00915210" w:rsidP="008F767C">
            <w:pPr>
              <w:keepNext/>
              <w:jc w:val="center"/>
              <w:rPr>
                <w:sz w:val="18"/>
                <w:szCs w:val="18"/>
              </w:rPr>
            </w:pPr>
            <w:bookmarkStart w:id="12" w:name="pr101"/>
            <w:bookmarkEnd w:id="12"/>
            <w:r w:rsidRPr="00A65AF0">
              <w:rPr>
                <w:sz w:val="18"/>
                <w:szCs w:val="18"/>
              </w:rPr>
              <w:t xml:space="preserve">Határérték (LTH) az </w:t>
            </w:r>
            <w:proofErr w:type="spellStart"/>
            <w:r w:rsidRPr="00A65AF0">
              <w:rPr>
                <w:sz w:val="18"/>
                <w:szCs w:val="18"/>
              </w:rPr>
              <w:t>LAM’kö</w:t>
            </w:r>
            <w:proofErr w:type="spellEnd"/>
            <w:r w:rsidRPr="00A65AF0">
              <w:rPr>
                <w:sz w:val="18"/>
                <w:szCs w:val="18"/>
              </w:rPr>
              <w:t xml:space="preserve"> megítélési szintre* (dB)</w:t>
            </w:r>
          </w:p>
        </w:tc>
      </w:tr>
      <w:tr w:rsidR="00915210" w:rsidRPr="00A65AF0" w14:paraId="1F51B2ED" w14:textId="77777777" w:rsidTr="008F767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B6C28F" w14:textId="77777777" w:rsidR="00915210" w:rsidRPr="00A65AF0" w:rsidRDefault="00915210" w:rsidP="008F767C">
            <w:pPr>
              <w:keepNext/>
              <w:jc w:val="center"/>
              <w:rPr>
                <w:sz w:val="18"/>
                <w:szCs w:val="18"/>
              </w:rPr>
            </w:pPr>
            <w:bookmarkStart w:id="13" w:name="pr102"/>
            <w:bookmarkEnd w:id="13"/>
            <w:r w:rsidRPr="00A65AF0">
              <w:rPr>
                <w:sz w:val="18"/>
                <w:szCs w:val="18"/>
              </w:rPr>
              <w:br/>
            </w:r>
            <w:r w:rsidRPr="00A65AF0">
              <w:rPr>
                <w:sz w:val="18"/>
                <w:szCs w:val="18"/>
              </w:rPr>
              <w:br/>
            </w:r>
            <w:r w:rsidRPr="00A65AF0">
              <w:rPr>
                <w:sz w:val="18"/>
                <w:szCs w:val="18"/>
              </w:rPr>
              <w:br/>
              <w:t>Sor-</w:t>
            </w:r>
            <w:r w:rsidRPr="00A65AF0">
              <w:rPr>
                <w:sz w:val="18"/>
                <w:szCs w:val="18"/>
              </w:rPr>
              <w:br/>
              <w:t>szám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52CF0E" w14:textId="77777777" w:rsidR="00915210" w:rsidRPr="00A65AF0" w:rsidRDefault="00915210" w:rsidP="008F767C">
            <w:pPr>
              <w:keepNext/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br/>
            </w:r>
            <w:r w:rsidRPr="00A65AF0">
              <w:rPr>
                <w:sz w:val="18"/>
                <w:szCs w:val="18"/>
              </w:rPr>
              <w:br/>
            </w:r>
            <w:r w:rsidRPr="00A65AF0">
              <w:rPr>
                <w:sz w:val="18"/>
                <w:szCs w:val="18"/>
              </w:rPr>
              <w:br/>
              <w:t>Zajtól védendő terület</w:t>
            </w: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DDFD2A" w14:textId="77777777" w:rsidR="00915210" w:rsidRPr="00A65AF0" w:rsidRDefault="00915210" w:rsidP="008F767C">
            <w:pPr>
              <w:keepNext/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br/>
            </w:r>
            <w:r w:rsidRPr="00A65AF0">
              <w:rPr>
                <w:sz w:val="18"/>
                <w:szCs w:val="18"/>
              </w:rPr>
              <w:br/>
            </w:r>
            <w:r w:rsidRPr="00A65AF0">
              <w:rPr>
                <w:sz w:val="18"/>
                <w:szCs w:val="18"/>
              </w:rPr>
              <w:br/>
              <w:t>kiszolgáló úttól, lakóúttól származó zajra</w:t>
            </w:r>
          </w:p>
        </w:tc>
        <w:tc>
          <w:tcPr>
            <w:tcW w:w="21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460D1F" w14:textId="77777777" w:rsidR="00915210" w:rsidRPr="00A65AF0" w:rsidRDefault="00915210" w:rsidP="008F767C">
            <w:pPr>
              <w:keepNext/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az országos közúthálózatba tartozó mellékutaktól, a települési önkormányzat tulajdonában lévő gyűjtőutaktól és külterületi közutaktól, a vasúti mellékvonaltól és pályaudvarától, a repülőtértől, illetve a nem nyilvános fel- és leszállóhelyektől** származó zajra</w:t>
            </w:r>
          </w:p>
        </w:tc>
        <w:tc>
          <w:tcPr>
            <w:tcW w:w="3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4724870" w14:textId="77777777" w:rsidR="00915210" w:rsidRPr="00A65AF0" w:rsidRDefault="00915210" w:rsidP="008F767C">
            <w:pPr>
              <w:keepNext/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br/>
              <w:t>az országos közúthálózatba tartozó gyorsforgalmi utaktól és főutaktól, a települési önkormányzat tulajdonában lévő belterületi gyorsforgalmi utaktól, belterületi elsőrendű főutaktól és belterületi másodrendű főutaktól, az autóbusz-pályaudvartól, a vasúti fővonaltól és pályaudvarától, a repülőtértől, illetve a nem nyilvános fel és leszállóhelytől*** származó zajra</w:t>
            </w:r>
          </w:p>
        </w:tc>
      </w:tr>
      <w:tr w:rsidR="00915210" w:rsidRPr="00A65AF0" w14:paraId="11E6C6D8" w14:textId="77777777" w:rsidTr="008F767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C49F774" w14:textId="77777777" w:rsidR="00915210" w:rsidRPr="00A65AF0" w:rsidRDefault="00915210" w:rsidP="008F767C">
            <w:pPr>
              <w:rPr>
                <w:sz w:val="18"/>
                <w:szCs w:val="18"/>
              </w:rPr>
            </w:pPr>
            <w:bookmarkStart w:id="14" w:name="pr103"/>
            <w:bookmarkEnd w:id="14"/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A6F04F" w14:textId="77777777" w:rsidR="00915210" w:rsidRPr="00A65AF0" w:rsidRDefault="00915210" w:rsidP="008F767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5DF85E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 xml:space="preserve">nappal </w:t>
            </w:r>
            <w:r w:rsidRPr="00A65AF0">
              <w:rPr>
                <w:sz w:val="18"/>
                <w:szCs w:val="18"/>
              </w:rPr>
              <w:br/>
              <w:t>06-22 óra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0DF6AE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 xml:space="preserve">éjjel </w:t>
            </w:r>
            <w:r w:rsidRPr="00A65AF0">
              <w:rPr>
                <w:sz w:val="18"/>
                <w:szCs w:val="18"/>
              </w:rPr>
              <w:br/>
              <w:t>22-06 óra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5BD4475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nappal</w:t>
            </w:r>
            <w:r w:rsidRPr="00A65AF0">
              <w:rPr>
                <w:sz w:val="18"/>
                <w:szCs w:val="18"/>
              </w:rPr>
              <w:br/>
              <w:t>06-22 óra</w:t>
            </w:r>
          </w:p>
        </w:tc>
        <w:tc>
          <w:tcPr>
            <w:tcW w:w="10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8F80EC7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 xml:space="preserve">éjjel </w:t>
            </w:r>
            <w:r w:rsidRPr="00A65AF0">
              <w:rPr>
                <w:sz w:val="18"/>
                <w:szCs w:val="18"/>
              </w:rPr>
              <w:br/>
              <w:t>22-06 óra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5BACB4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 xml:space="preserve">nappal </w:t>
            </w:r>
            <w:r w:rsidRPr="00A65AF0">
              <w:rPr>
                <w:sz w:val="18"/>
                <w:szCs w:val="18"/>
              </w:rPr>
              <w:br/>
              <w:t>06-22 óra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FD4902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 xml:space="preserve">éjjel </w:t>
            </w:r>
            <w:r w:rsidRPr="00A65AF0">
              <w:rPr>
                <w:sz w:val="18"/>
                <w:szCs w:val="18"/>
              </w:rPr>
              <w:br/>
              <w:t>22-06 óra</w:t>
            </w:r>
          </w:p>
        </w:tc>
      </w:tr>
      <w:tr w:rsidR="00915210" w:rsidRPr="00A65AF0" w14:paraId="4B7CD553" w14:textId="77777777" w:rsidTr="008F767C">
        <w:trPr>
          <w:trHeight w:val="869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D66FC59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bookmarkStart w:id="15" w:name="pr104"/>
            <w:bookmarkEnd w:id="15"/>
            <w:r w:rsidRPr="00A65AF0">
              <w:rPr>
                <w:sz w:val="18"/>
                <w:szCs w:val="18"/>
              </w:rPr>
              <w:t>1.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EBBECB" w14:textId="77777777" w:rsidR="00915210" w:rsidRPr="00A65AF0" w:rsidRDefault="00915210" w:rsidP="008F767C">
            <w:pPr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 xml:space="preserve">Üdülőterület, különleges turisztikai területek 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9035121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F4C4198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B7D3F8F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  <w:tc>
          <w:tcPr>
            <w:tcW w:w="10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EFC1489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7AC9F77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60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46E6DF2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50</w:t>
            </w:r>
          </w:p>
        </w:tc>
      </w:tr>
      <w:tr w:rsidR="00915210" w:rsidRPr="00A65AF0" w14:paraId="15C8C49D" w14:textId="77777777" w:rsidTr="008F767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10A719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bookmarkStart w:id="16" w:name="pr105"/>
            <w:bookmarkEnd w:id="16"/>
            <w:r w:rsidRPr="00A65AF0">
              <w:rPr>
                <w:sz w:val="18"/>
                <w:szCs w:val="18"/>
              </w:rPr>
              <w:t>2.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E72AAC" w14:textId="77777777" w:rsidR="00915210" w:rsidRPr="00A65AF0" w:rsidRDefault="00915210" w:rsidP="008F767C">
            <w:pPr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Különleges területek közül az oktatási, szociális építmények területei, és a temetők, a zöldterület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B5CD1FE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F0B804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45</w:t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D05AE0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60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3B3305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21132A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65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E935FC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</w:tr>
      <w:tr w:rsidR="00915210" w:rsidRPr="00A65AF0" w14:paraId="4963EF79" w14:textId="77777777" w:rsidTr="008F767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2B7A20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bookmarkStart w:id="17" w:name="pr106"/>
            <w:bookmarkEnd w:id="17"/>
            <w:r w:rsidRPr="00A65AF0">
              <w:rPr>
                <w:sz w:val="18"/>
                <w:szCs w:val="18"/>
              </w:rPr>
              <w:t>3.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8F8F537" w14:textId="77777777" w:rsidR="00915210" w:rsidRPr="00A65AF0" w:rsidRDefault="00915210" w:rsidP="008F767C">
            <w:pPr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Lakóterület (falusias és kertvárosias beépítésű), a vegyes terület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1E425C9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8A4B97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50</w:t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82A2D8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65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ADFAC9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F7A9AFB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65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D985E3C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</w:tr>
      <w:tr w:rsidR="00915210" w:rsidRPr="00A65AF0" w14:paraId="5484FF6A" w14:textId="77777777" w:rsidTr="008F767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E6E055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bookmarkStart w:id="18" w:name="pr107"/>
            <w:bookmarkEnd w:id="18"/>
            <w:r w:rsidRPr="00A65AF0">
              <w:rPr>
                <w:sz w:val="18"/>
                <w:szCs w:val="18"/>
              </w:rPr>
              <w:t>4.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938DB85" w14:textId="77777777" w:rsidR="00915210" w:rsidRPr="00A65AF0" w:rsidRDefault="00915210" w:rsidP="008F767C">
            <w:pPr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Gazdasági terület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54A5176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65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23F509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7C1398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65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0085FF8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C569E50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65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042825" w14:textId="77777777" w:rsidR="00915210" w:rsidRPr="00A65AF0" w:rsidRDefault="00915210" w:rsidP="008F767C">
            <w:pPr>
              <w:jc w:val="center"/>
              <w:rPr>
                <w:sz w:val="18"/>
                <w:szCs w:val="18"/>
              </w:rPr>
            </w:pPr>
            <w:r w:rsidRPr="00A65AF0">
              <w:rPr>
                <w:sz w:val="18"/>
                <w:szCs w:val="18"/>
              </w:rPr>
              <w:t>55</w:t>
            </w:r>
          </w:p>
        </w:tc>
      </w:tr>
    </w:tbl>
    <w:p w14:paraId="0D475589" w14:textId="77777777" w:rsidR="00915210" w:rsidRPr="00A65AF0" w:rsidRDefault="00915210" w:rsidP="00915210">
      <w:pPr>
        <w:spacing w:before="120" w:after="120"/>
        <w:ind w:left="147" w:right="193"/>
        <w:rPr>
          <w:vanish/>
          <w:sz w:val="20"/>
          <w:szCs w:val="20"/>
        </w:rPr>
      </w:pPr>
      <w:bookmarkStart w:id="19" w:name="pr108"/>
      <w:bookmarkEnd w:id="19"/>
      <w:r w:rsidRPr="00A65AF0">
        <w:rPr>
          <w:i/>
          <w:iCs/>
          <w:sz w:val="20"/>
          <w:szCs w:val="20"/>
        </w:rPr>
        <w:t>Megjegyzés:</w:t>
      </w:r>
    </w:p>
    <w:tbl>
      <w:tblPr>
        <w:tblW w:w="9254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4"/>
      </w:tblGrid>
      <w:tr w:rsidR="00915210" w:rsidRPr="00A65AF0" w14:paraId="66A1EF13" w14:textId="77777777" w:rsidTr="008F767C">
        <w:tc>
          <w:tcPr>
            <w:tcW w:w="9254" w:type="dxa"/>
            <w:shd w:val="clear" w:color="auto" w:fill="auto"/>
            <w:vAlign w:val="center"/>
          </w:tcPr>
          <w:p w14:paraId="04A91BF3" w14:textId="77777777" w:rsidR="00915210" w:rsidRPr="00A65AF0" w:rsidRDefault="00915210" w:rsidP="008F767C">
            <w:pPr>
              <w:spacing w:after="120"/>
              <w:jc w:val="both"/>
              <w:rPr>
                <w:sz w:val="18"/>
                <w:szCs w:val="18"/>
              </w:rPr>
            </w:pPr>
            <w:bookmarkStart w:id="20" w:name="pr109"/>
            <w:bookmarkEnd w:id="20"/>
            <w:r w:rsidRPr="00A65AF0">
              <w:rPr>
                <w:sz w:val="18"/>
                <w:szCs w:val="18"/>
              </w:rPr>
              <w:t>* Értelmezése a stratégiai zajtérképek és intézkedési tervek készítésének részletes szabályairól szóló rendelet szerint.</w:t>
            </w:r>
          </w:p>
        </w:tc>
      </w:tr>
      <w:tr w:rsidR="00915210" w:rsidRPr="00A65AF0" w14:paraId="3A47C005" w14:textId="77777777" w:rsidTr="008F767C">
        <w:tc>
          <w:tcPr>
            <w:tcW w:w="9254" w:type="dxa"/>
            <w:shd w:val="clear" w:color="auto" w:fill="auto"/>
            <w:vAlign w:val="center"/>
          </w:tcPr>
          <w:p w14:paraId="6D5D95C6" w14:textId="77777777" w:rsidR="00915210" w:rsidRPr="00A65AF0" w:rsidRDefault="00915210" w:rsidP="008F767C">
            <w:pPr>
              <w:spacing w:after="120"/>
              <w:jc w:val="both"/>
              <w:rPr>
                <w:sz w:val="18"/>
                <w:szCs w:val="18"/>
              </w:rPr>
            </w:pPr>
            <w:bookmarkStart w:id="21" w:name="pr110"/>
            <w:bookmarkEnd w:id="21"/>
            <w:r w:rsidRPr="00A65AF0">
              <w:rPr>
                <w:sz w:val="18"/>
                <w:szCs w:val="18"/>
              </w:rPr>
              <w:t>** Olyan repülőterek, vagy nem nyilvános fel- és leszállóhelyek, ahol 5,7 tonna maximális felszálló tömegnél kisebb, légcsavaros repülőgépek, illetve 2,73 tonna maximális felszálló tömegnél kisebb helikopterek közlekednek.</w:t>
            </w:r>
          </w:p>
        </w:tc>
      </w:tr>
      <w:tr w:rsidR="00915210" w:rsidRPr="0016302E" w14:paraId="6EE253B3" w14:textId="77777777" w:rsidTr="008F767C">
        <w:tc>
          <w:tcPr>
            <w:tcW w:w="9254" w:type="dxa"/>
            <w:shd w:val="clear" w:color="auto" w:fill="auto"/>
            <w:vAlign w:val="center"/>
          </w:tcPr>
          <w:p w14:paraId="6D9E59A7" w14:textId="77777777" w:rsidR="00915210" w:rsidRPr="0016302E" w:rsidRDefault="00915210" w:rsidP="008F767C">
            <w:pPr>
              <w:spacing w:after="120"/>
              <w:jc w:val="both"/>
              <w:rPr>
                <w:sz w:val="18"/>
                <w:szCs w:val="18"/>
              </w:rPr>
            </w:pPr>
            <w:bookmarkStart w:id="22" w:name="pr111"/>
            <w:bookmarkEnd w:id="22"/>
            <w:r w:rsidRPr="00A65AF0">
              <w:rPr>
                <w:sz w:val="18"/>
                <w:szCs w:val="18"/>
              </w:rPr>
              <w:t>*** Olyan repülőterek, vagy nem nyilvános fel- és leszállóhelyek, ahol 5,7 tonna maximális felszálló tömegű vagy annál nagyobb, légcsavaros repülőgépek, 2,73 tonna maximális felszálló tömegű vagy annál nagyobb helikopterek, valamint sugárhajtású légijárművek közlekednek.</w:t>
            </w:r>
          </w:p>
        </w:tc>
      </w:tr>
    </w:tbl>
    <w:p w14:paraId="7BB1F9ED" w14:textId="77777777" w:rsidR="00915210" w:rsidRDefault="00915210" w:rsidP="00915210">
      <w:pPr>
        <w:rPr>
          <w:color w:val="FF0000"/>
        </w:rPr>
      </w:pPr>
    </w:p>
    <w:p w14:paraId="75CDFBB2" w14:textId="77777777" w:rsidR="00915210" w:rsidRDefault="00915210" w:rsidP="00915210">
      <w:pPr>
        <w:rPr>
          <w:color w:val="FF0000"/>
        </w:rPr>
      </w:pPr>
    </w:p>
    <w:p w14:paraId="7A3DCC94" w14:textId="77777777" w:rsidR="00915210" w:rsidRDefault="00915210" w:rsidP="00915210">
      <w:pPr>
        <w:rPr>
          <w:color w:val="FF0000"/>
        </w:rPr>
      </w:pPr>
    </w:p>
    <w:p w14:paraId="2FDE3FC7" w14:textId="77777777" w:rsidR="00915210" w:rsidRDefault="00915210" w:rsidP="00915210">
      <w:pPr>
        <w:rPr>
          <w:color w:val="FF0000"/>
        </w:rPr>
      </w:pPr>
    </w:p>
    <w:p w14:paraId="5109A746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10"/>
    <w:rsid w:val="008C5847"/>
    <w:rsid w:val="009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7F4E"/>
  <w15:chartTrackingRefBased/>
  <w15:docId w15:val="{2E690A99-AE42-48E4-BB5A-E3D26E77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2020-11-09T10:35:00Z</dcterms:created>
  <dcterms:modified xsi:type="dcterms:W3CDTF">2020-11-09T10:35:00Z</dcterms:modified>
</cp:coreProperties>
</file>