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FF7" w:rsidRDefault="005C3FF7" w:rsidP="005C3FF7">
      <w:pPr>
        <w:pStyle w:val="Default"/>
        <w:pageBreakBefore/>
        <w:jc w:val="both"/>
        <w:rPr>
          <w:b/>
          <w:bCs/>
        </w:rPr>
      </w:pPr>
      <w:r>
        <w:rPr>
          <w:b/>
          <w:bCs/>
        </w:rPr>
        <w:t xml:space="preserve">                   </w:t>
      </w:r>
      <w:bookmarkStart w:id="0" w:name="_GoBack"/>
      <w:bookmarkEnd w:id="0"/>
      <w:r>
        <w:rPr>
          <w:b/>
          <w:bCs/>
        </w:rPr>
        <w:t xml:space="preserve">                                                                                     1. számú melléklet </w:t>
      </w:r>
    </w:p>
    <w:p w:rsidR="005C3FF7" w:rsidRPr="00C24E3C" w:rsidRDefault="005C3FF7" w:rsidP="005C3FF7">
      <w:pPr>
        <w:pStyle w:val="Default"/>
        <w:jc w:val="both"/>
      </w:pPr>
      <w:r>
        <w:rPr>
          <w:b/>
        </w:rPr>
        <w:t xml:space="preserve">                                                                                                        </w:t>
      </w:r>
      <w:r w:rsidRPr="00C24E3C">
        <w:t xml:space="preserve">a 16/2010. (VI. 28.) </w:t>
      </w:r>
    </w:p>
    <w:p w:rsidR="005C3FF7" w:rsidRDefault="005C3FF7" w:rsidP="005C3FF7">
      <w:pPr>
        <w:pStyle w:val="Default"/>
        <w:jc w:val="both"/>
        <w:rPr>
          <w:b/>
        </w:rPr>
      </w:pPr>
      <w:r w:rsidRPr="00C24E3C">
        <w:t xml:space="preserve">                                                                                                 Önkormányzati Rendelethez</w:t>
      </w:r>
    </w:p>
    <w:p w:rsidR="005C3FF7" w:rsidRDefault="005C3FF7" w:rsidP="005C3FF7">
      <w:pPr>
        <w:pStyle w:val="Default"/>
        <w:jc w:val="right"/>
      </w:pPr>
    </w:p>
    <w:p w:rsidR="005C3FF7" w:rsidRDefault="005C3FF7" w:rsidP="005C3FF7">
      <w:pPr>
        <w:pStyle w:val="Default"/>
        <w:ind w:firstLine="1"/>
        <w:jc w:val="center"/>
        <w:rPr>
          <w:b/>
          <w:bCs/>
        </w:rPr>
      </w:pPr>
      <w:r>
        <w:rPr>
          <w:b/>
          <w:bCs/>
        </w:rPr>
        <w:t>A távhőszolgáltatás díjait befolyásoló áremelések hatásainak a távhőszolgáltatás díjaiban történő automatikus érvényesítése</w:t>
      </w:r>
    </w:p>
    <w:p w:rsidR="005C3FF7" w:rsidRDefault="005C3FF7" w:rsidP="005C3FF7">
      <w:pPr>
        <w:pStyle w:val="Default"/>
        <w:ind w:firstLine="1"/>
        <w:jc w:val="center"/>
        <w:rPr>
          <w:b/>
          <w:bCs/>
          <w:sz w:val="23"/>
          <w:szCs w:val="23"/>
        </w:rPr>
      </w:pPr>
    </w:p>
    <w:p w:rsidR="005C3FF7" w:rsidRDefault="005C3FF7" w:rsidP="005C3FF7">
      <w:pPr>
        <w:pStyle w:val="Default"/>
        <w:ind w:firstLine="1"/>
        <w:rPr>
          <w:sz w:val="23"/>
          <w:szCs w:val="23"/>
        </w:rPr>
      </w:pPr>
      <w:r>
        <w:rPr>
          <w:sz w:val="23"/>
          <w:szCs w:val="23"/>
        </w:rPr>
        <w:t>Hődíjak:</w:t>
      </w:r>
    </w:p>
    <w:p w:rsidR="005C3FF7" w:rsidRDefault="005C3FF7" w:rsidP="005C3FF7">
      <w:pPr>
        <w:pStyle w:val="Default"/>
        <w:ind w:firstLine="1"/>
        <w:jc w:val="center"/>
        <w:rPr>
          <w:b/>
          <w:bCs/>
          <w:sz w:val="23"/>
          <w:szCs w:val="23"/>
        </w:rPr>
      </w:pPr>
      <w:r>
        <w:rPr>
          <w:kern w:val="2"/>
          <w:position w:val="-62"/>
        </w:rPr>
        <w:object w:dxaOrig="4940" w:dyaOrig="1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68.25pt" o:ole="" filled="t">
            <v:fill color2="black"/>
            <v:imagedata r:id="rId4" o:title=""/>
          </v:shape>
          <o:OLEObject Type="Embed" ProgID="Equation.3" ShapeID="_x0000_i1025" DrawAspect="Content" ObjectID="_1571116991" r:id="rId5"/>
        </w:object>
      </w:r>
    </w:p>
    <w:p w:rsidR="005C3FF7" w:rsidRDefault="005C3FF7" w:rsidP="005C3FF7">
      <w:pPr>
        <w:pStyle w:val="Default"/>
        <w:ind w:firstLine="1"/>
        <w:jc w:val="center"/>
        <w:rPr>
          <w:b/>
          <w:bCs/>
          <w:sz w:val="23"/>
          <w:szCs w:val="23"/>
        </w:rPr>
      </w:pPr>
    </w:p>
    <w:p w:rsidR="005C3FF7" w:rsidRDefault="005C3FF7" w:rsidP="005C3FF7">
      <w:pPr>
        <w:pStyle w:val="Default"/>
        <w:ind w:firstLine="1"/>
        <w:jc w:val="center"/>
        <w:rPr>
          <w:b/>
          <w:bCs/>
          <w:sz w:val="23"/>
          <w:szCs w:val="23"/>
        </w:rPr>
      </w:pPr>
      <w:r>
        <w:rPr>
          <w:kern w:val="2"/>
          <w:position w:val="-62"/>
        </w:rPr>
        <w:object w:dxaOrig="5620" w:dyaOrig="1359">
          <v:shape id="_x0000_i1026" type="#_x0000_t75" style="width:281.25pt;height:68.25pt" o:ole="" filled="t">
            <v:fill color2="black"/>
            <v:imagedata r:id="rId6" o:title=""/>
          </v:shape>
          <o:OLEObject Type="Embed" ProgID="Equation.3" ShapeID="_x0000_i1026" DrawAspect="Content" ObjectID="_1571116992" r:id="rId7"/>
        </w:object>
      </w:r>
    </w:p>
    <w:p w:rsidR="005C3FF7" w:rsidRDefault="005C3FF7" w:rsidP="005C3FF7">
      <w:pPr>
        <w:pStyle w:val="Default"/>
        <w:ind w:firstLine="1"/>
        <w:jc w:val="center"/>
        <w:rPr>
          <w:b/>
          <w:bCs/>
          <w:sz w:val="23"/>
          <w:szCs w:val="23"/>
        </w:rPr>
      </w:pPr>
    </w:p>
    <w:p w:rsidR="005C3FF7" w:rsidRDefault="005C3FF7" w:rsidP="005C3FF7">
      <w:pPr>
        <w:pStyle w:val="Default"/>
        <w:ind w:firstLine="1"/>
        <w:jc w:val="both"/>
        <w:rPr>
          <w:sz w:val="23"/>
          <w:szCs w:val="23"/>
        </w:rPr>
      </w:pPr>
      <w:r>
        <w:rPr>
          <w:sz w:val="23"/>
          <w:szCs w:val="23"/>
        </w:rPr>
        <w:t>HD</w:t>
      </w:r>
      <w:proofErr w:type="gramStart"/>
      <w:r>
        <w:rPr>
          <w:sz w:val="23"/>
          <w:szCs w:val="23"/>
          <w:vertAlign w:val="subscript"/>
        </w:rPr>
        <w:t>0</w:t>
      </w:r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MVHD</w:t>
      </w:r>
      <w:r>
        <w:rPr>
          <w:sz w:val="23"/>
          <w:szCs w:val="23"/>
          <w:vertAlign w:val="subscript"/>
        </w:rPr>
        <w:t>0</w:t>
      </w:r>
      <w:r>
        <w:rPr>
          <w:sz w:val="23"/>
          <w:szCs w:val="23"/>
        </w:rPr>
        <w:tab/>
        <w:t xml:space="preserve">bázis </w:t>
      </w:r>
      <w:proofErr w:type="spellStart"/>
      <w:r>
        <w:rPr>
          <w:sz w:val="23"/>
          <w:szCs w:val="23"/>
        </w:rPr>
        <w:t>hődíj</w:t>
      </w:r>
      <w:proofErr w:type="spellEnd"/>
      <w:r>
        <w:rPr>
          <w:sz w:val="23"/>
          <w:szCs w:val="23"/>
        </w:rPr>
        <w:t xml:space="preserve">, illetve bázis vízfelmelegítési </w:t>
      </w:r>
      <w:proofErr w:type="spellStart"/>
      <w:r>
        <w:rPr>
          <w:sz w:val="23"/>
          <w:szCs w:val="23"/>
        </w:rPr>
        <w:t>hődíj</w:t>
      </w:r>
      <w:proofErr w:type="spellEnd"/>
    </w:p>
    <w:p w:rsidR="005C3FF7" w:rsidRDefault="005C3FF7" w:rsidP="005C3FF7">
      <w:pPr>
        <w:pStyle w:val="Default"/>
        <w:ind w:firstLine="1"/>
        <w:jc w:val="both"/>
        <w:rPr>
          <w:sz w:val="23"/>
          <w:szCs w:val="23"/>
        </w:rPr>
      </w:pPr>
      <w:r>
        <w:rPr>
          <w:sz w:val="23"/>
          <w:szCs w:val="23"/>
        </w:rPr>
        <w:t>HD, MVHD</w:t>
      </w:r>
      <w:r>
        <w:rPr>
          <w:sz w:val="23"/>
          <w:szCs w:val="23"/>
        </w:rPr>
        <w:tab/>
        <w:t xml:space="preserve">aktualizált </w:t>
      </w:r>
      <w:proofErr w:type="spellStart"/>
      <w:r>
        <w:rPr>
          <w:sz w:val="23"/>
          <w:szCs w:val="23"/>
        </w:rPr>
        <w:t>hődíj</w:t>
      </w:r>
      <w:proofErr w:type="spellEnd"/>
      <w:r>
        <w:rPr>
          <w:sz w:val="23"/>
          <w:szCs w:val="23"/>
        </w:rPr>
        <w:t>, illetve vízfelmelegítési díj</w:t>
      </w:r>
    </w:p>
    <w:p w:rsidR="005C3FF7" w:rsidRDefault="005C3FF7" w:rsidP="005C3FF7">
      <w:pPr>
        <w:pStyle w:val="Default"/>
        <w:ind w:firstLine="1"/>
        <w:jc w:val="both"/>
        <w:rPr>
          <w:sz w:val="23"/>
          <w:szCs w:val="23"/>
        </w:rPr>
      </w:pPr>
      <w:r>
        <w:rPr>
          <w:sz w:val="23"/>
          <w:szCs w:val="23"/>
        </w:rPr>
        <w:t>GD</w:t>
      </w:r>
      <w:r>
        <w:rPr>
          <w:sz w:val="23"/>
          <w:szCs w:val="23"/>
          <w:vertAlign w:val="subscript"/>
        </w:rPr>
        <w:t>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bázis gázdíj</w:t>
      </w:r>
    </w:p>
    <w:p w:rsidR="005C3FF7" w:rsidRDefault="005C3FF7" w:rsidP="005C3FF7">
      <w:pPr>
        <w:pStyle w:val="Default"/>
        <w:ind w:firstLine="1"/>
        <w:jc w:val="both"/>
        <w:rPr>
          <w:sz w:val="23"/>
          <w:szCs w:val="23"/>
        </w:rPr>
      </w:pPr>
      <w:r>
        <w:rPr>
          <w:sz w:val="23"/>
          <w:szCs w:val="23"/>
        </w:rPr>
        <w:t>RHD</w:t>
      </w:r>
      <w:r>
        <w:rPr>
          <w:sz w:val="23"/>
          <w:szCs w:val="23"/>
          <w:vertAlign w:val="subscript"/>
        </w:rPr>
        <w:t>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bázis rendszerhasználati díj</w:t>
      </w:r>
    </w:p>
    <w:p w:rsidR="005C3FF7" w:rsidRDefault="005C3FF7" w:rsidP="005C3FF7">
      <w:pPr>
        <w:pStyle w:val="Default"/>
        <w:ind w:firstLine="1"/>
        <w:jc w:val="both"/>
        <w:rPr>
          <w:sz w:val="23"/>
          <w:szCs w:val="23"/>
        </w:rPr>
      </w:pPr>
      <w:r>
        <w:rPr>
          <w:sz w:val="23"/>
          <w:szCs w:val="23"/>
        </w:rPr>
        <w:t>RHD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aktuális rendszerhasználati díj</w:t>
      </w:r>
    </w:p>
    <w:p w:rsidR="005C3FF7" w:rsidRDefault="005C3FF7" w:rsidP="005C3FF7">
      <w:pPr>
        <w:pStyle w:val="Default"/>
        <w:ind w:firstLine="1"/>
        <w:jc w:val="both"/>
        <w:rPr>
          <w:sz w:val="23"/>
          <w:szCs w:val="23"/>
        </w:rPr>
      </w:pPr>
      <w:r>
        <w:rPr>
          <w:sz w:val="23"/>
          <w:szCs w:val="23"/>
        </w:rPr>
        <w:t>DEV</w:t>
      </w:r>
      <w:r>
        <w:rPr>
          <w:sz w:val="23"/>
          <w:szCs w:val="23"/>
          <w:vertAlign w:val="subscript"/>
        </w:rPr>
        <w:t>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bázis deviza-forint árfolyam</w:t>
      </w:r>
    </w:p>
    <w:p w:rsidR="005C3FF7" w:rsidRDefault="005C3FF7" w:rsidP="005C3FF7">
      <w:pPr>
        <w:pStyle w:val="Default"/>
        <w:ind w:firstLine="1"/>
        <w:jc w:val="both"/>
        <w:rPr>
          <w:sz w:val="23"/>
          <w:szCs w:val="23"/>
        </w:rPr>
      </w:pPr>
      <w:r>
        <w:rPr>
          <w:sz w:val="23"/>
          <w:szCs w:val="23"/>
        </w:rPr>
        <w:t>DEV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aktuális deviza-forint árfolyam</w:t>
      </w:r>
    </w:p>
    <w:p w:rsidR="005C3FF7" w:rsidRDefault="005C3FF7" w:rsidP="005C3FF7">
      <w:pPr>
        <w:pStyle w:val="Default"/>
        <w:ind w:firstLine="1"/>
        <w:jc w:val="both"/>
        <w:rPr>
          <w:sz w:val="23"/>
          <w:szCs w:val="23"/>
        </w:rPr>
      </w:pPr>
      <w:r>
        <w:rPr>
          <w:sz w:val="23"/>
          <w:szCs w:val="23"/>
        </w:rPr>
        <w:t>V</w:t>
      </w:r>
      <w:r>
        <w:rPr>
          <w:sz w:val="23"/>
          <w:szCs w:val="23"/>
          <w:vertAlign w:val="subscript"/>
        </w:rPr>
        <w:t>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bázis villamos energiadíj</w:t>
      </w:r>
    </w:p>
    <w:p w:rsidR="005C3FF7" w:rsidRDefault="005C3FF7" w:rsidP="005C3FF7">
      <w:pPr>
        <w:pStyle w:val="Default"/>
        <w:ind w:firstLine="1"/>
        <w:jc w:val="both"/>
        <w:rPr>
          <w:sz w:val="23"/>
          <w:szCs w:val="23"/>
        </w:rPr>
      </w:pPr>
      <w:r>
        <w:rPr>
          <w:sz w:val="23"/>
          <w:szCs w:val="23"/>
        </w:rPr>
        <w:t>V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aktuális villamos energiadíj</w:t>
      </w:r>
    </w:p>
    <w:p w:rsidR="005C3FF7" w:rsidRDefault="005C3FF7" w:rsidP="005C3FF7">
      <w:pPr>
        <w:pStyle w:val="Default"/>
        <w:ind w:firstLine="1"/>
        <w:jc w:val="both"/>
        <w:rPr>
          <w:sz w:val="23"/>
          <w:szCs w:val="23"/>
        </w:rPr>
      </w:pPr>
    </w:p>
    <w:p w:rsidR="005C3FF7" w:rsidRDefault="005C3FF7" w:rsidP="005C3FF7">
      <w:pPr>
        <w:pStyle w:val="Default"/>
        <w:ind w:firstLine="1"/>
        <w:jc w:val="both"/>
        <w:rPr>
          <w:sz w:val="23"/>
          <w:szCs w:val="23"/>
        </w:rPr>
      </w:pPr>
      <w:r>
        <w:rPr>
          <w:sz w:val="23"/>
          <w:szCs w:val="23"/>
        </w:rPr>
        <w:t>Alapdíj:</w:t>
      </w:r>
    </w:p>
    <w:p w:rsidR="005C3FF7" w:rsidRDefault="005C3FF7" w:rsidP="005C3FF7">
      <w:pPr>
        <w:pStyle w:val="Default"/>
        <w:ind w:firstLine="1"/>
        <w:jc w:val="center"/>
        <w:rPr>
          <w:sz w:val="23"/>
          <w:szCs w:val="23"/>
        </w:rPr>
      </w:pPr>
      <w:r>
        <w:rPr>
          <w:kern w:val="2"/>
          <w:position w:val="-30"/>
          <w:sz w:val="23"/>
          <w:szCs w:val="23"/>
        </w:rPr>
        <w:object w:dxaOrig="4440" w:dyaOrig="720">
          <v:shape id="_x0000_i1027" type="#_x0000_t75" style="width:222pt;height:36pt" o:ole="">
            <v:imagedata r:id="rId8" o:title=""/>
          </v:shape>
          <o:OLEObject Type="Embed" ProgID="Equation.3" ShapeID="_x0000_i1027" DrawAspect="Content" ObjectID="_1571116993" r:id="rId9"/>
        </w:object>
      </w:r>
    </w:p>
    <w:p w:rsidR="005C3FF7" w:rsidRDefault="005C3FF7" w:rsidP="005C3FF7">
      <w:pPr>
        <w:pStyle w:val="Default"/>
        <w:ind w:firstLine="1"/>
        <w:jc w:val="center"/>
        <w:rPr>
          <w:sz w:val="23"/>
          <w:szCs w:val="23"/>
        </w:rPr>
      </w:pPr>
    </w:p>
    <w:p w:rsidR="005C3FF7" w:rsidRDefault="005C3FF7" w:rsidP="005C3FF7">
      <w:pPr>
        <w:pStyle w:val="Default"/>
        <w:ind w:firstLine="1"/>
        <w:jc w:val="both"/>
        <w:rPr>
          <w:sz w:val="23"/>
          <w:szCs w:val="23"/>
        </w:rPr>
      </w:pPr>
      <w:r>
        <w:rPr>
          <w:sz w:val="23"/>
          <w:szCs w:val="23"/>
        </w:rPr>
        <w:t>AD és AD</w:t>
      </w:r>
      <w:r>
        <w:rPr>
          <w:sz w:val="23"/>
          <w:szCs w:val="23"/>
          <w:vertAlign w:val="subscript"/>
        </w:rPr>
        <w:t>0</w:t>
      </w:r>
      <w:r>
        <w:rPr>
          <w:sz w:val="23"/>
          <w:szCs w:val="23"/>
        </w:rPr>
        <w:tab/>
        <w:t>aktualizált, illetve a bázis évi alapdíj</w:t>
      </w:r>
    </w:p>
    <w:p w:rsidR="005C3FF7" w:rsidRDefault="005C3FF7" w:rsidP="005C3FF7">
      <w:pPr>
        <w:pStyle w:val="Default"/>
        <w:ind w:firstLine="1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If</w:t>
      </w:r>
      <w:proofErr w:type="spellEnd"/>
      <w:r>
        <w:rPr>
          <w:sz w:val="23"/>
          <w:szCs w:val="23"/>
        </w:rPr>
        <w:tab/>
      </w:r>
      <w:r>
        <w:rPr>
          <w:sz w:val="23"/>
          <w:szCs w:val="23"/>
        </w:rPr>
        <w:tab/>
        <w:t>az éves KSH szerinti fogyasztói árindex</w:t>
      </w:r>
    </w:p>
    <w:p w:rsidR="005C3FF7" w:rsidRDefault="005C3FF7" w:rsidP="005C3FF7">
      <w:pPr>
        <w:pStyle w:val="Default"/>
        <w:ind w:firstLine="1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It</w:t>
      </w:r>
      <w:proofErr w:type="spellEnd"/>
      <w:r>
        <w:rPr>
          <w:sz w:val="23"/>
          <w:szCs w:val="23"/>
        </w:rPr>
        <w:tab/>
      </w:r>
      <w:r>
        <w:rPr>
          <w:sz w:val="23"/>
          <w:szCs w:val="23"/>
        </w:rPr>
        <w:tab/>
        <w:t>az éves KSH szerinti ipari termelői árindex</w:t>
      </w:r>
    </w:p>
    <w:p w:rsidR="005C3FF7" w:rsidRDefault="005C3FF7" w:rsidP="005C3FF7">
      <w:pPr>
        <w:pStyle w:val="Default"/>
        <w:ind w:firstLine="1"/>
        <w:jc w:val="both"/>
        <w:rPr>
          <w:sz w:val="23"/>
          <w:szCs w:val="23"/>
        </w:rPr>
      </w:pPr>
    </w:p>
    <w:p w:rsidR="005C3FF7" w:rsidRDefault="005C3FF7" w:rsidP="005C3FF7">
      <w:pPr>
        <w:pStyle w:val="Default"/>
        <w:ind w:firstLine="1"/>
        <w:jc w:val="both"/>
        <w:rPr>
          <w:sz w:val="23"/>
          <w:szCs w:val="23"/>
        </w:rPr>
      </w:pPr>
    </w:p>
    <w:p w:rsidR="005C3FF7" w:rsidRDefault="005C3FF7" w:rsidP="005C3FF7">
      <w:pPr>
        <w:pStyle w:val="Default"/>
        <w:ind w:firstLine="1"/>
        <w:jc w:val="both"/>
        <w:rPr>
          <w:sz w:val="23"/>
          <w:szCs w:val="23"/>
        </w:rPr>
      </w:pPr>
    </w:p>
    <w:p w:rsidR="005C3FF7" w:rsidRDefault="005C3FF7" w:rsidP="005C3FF7">
      <w:pPr>
        <w:pStyle w:val="Default"/>
        <w:ind w:firstLine="1"/>
        <w:jc w:val="center"/>
        <w:rPr>
          <w:b/>
          <w:bCs/>
        </w:rPr>
      </w:pPr>
      <w:r>
        <w:rPr>
          <w:b/>
          <w:bCs/>
        </w:rPr>
        <w:t xml:space="preserve">Díjképzési előírások </w:t>
      </w:r>
    </w:p>
    <w:p w:rsidR="005C3FF7" w:rsidRDefault="005C3FF7" w:rsidP="005C3FF7">
      <w:pPr>
        <w:pStyle w:val="Default"/>
        <w:ind w:firstLine="1"/>
        <w:jc w:val="center"/>
        <w:rPr>
          <w:b/>
          <w:bCs/>
          <w:sz w:val="23"/>
          <w:szCs w:val="23"/>
        </w:rPr>
      </w:pPr>
    </w:p>
    <w:p w:rsidR="005C3FF7" w:rsidRDefault="005C3FF7" w:rsidP="005C3FF7">
      <w:pPr>
        <w:pStyle w:val="Default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sz w:val="23"/>
          <w:szCs w:val="23"/>
        </w:rPr>
        <w:tab/>
        <w:t xml:space="preserve">A Hajdúnánási Építő és Szolgáltató Kft. a tárgyévet követő évre vonatkozóan (01.01-i hatálybalépéssel) minden év november hónapjában tesz javaslatot az Önkormányzat felé az alapdíj fogyasztói és termelői árindex változásától függő részének növelésére, a fenti képletek alapján. </w:t>
      </w:r>
    </w:p>
    <w:p w:rsidR="005C3FF7" w:rsidRDefault="005C3FF7" w:rsidP="005C3FF7">
      <w:pPr>
        <w:pStyle w:val="Default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sz w:val="23"/>
          <w:szCs w:val="23"/>
        </w:rPr>
        <w:tab/>
        <w:t xml:space="preserve">A Hajdúnánási Építő és Szolgáltató Kft. a gázbeszerzés árváltozásából adódó bázis </w:t>
      </w:r>
      <w:proofErr w:type="spellStart"/>
      <w:r>
        <w:rPr>
          <w:sz w:val="23"/>
          <w:szCs w:val="23"/>
        </w:rPr>
        <w:t>hődíj</w:t>
      </w:r>
      <w:proofErr w:type="spellEnd"/>
      <w:r>
        <w:rPr>
          <w:sz w:val="23"/>
          <w:szCs w:val="23"/>
        </w:rPr>
        <w:t xml:space="preserve"> (HD</w:t>
      </w:r>
      <w:r>
        <w:rPr>
          <w:sz w:val="23"/>
          <w:szCs w:val="23"/>
          <w:vertAlign w:val="subscript"/>
        </w:rPr>
        <w:t>0</w:t>
      </w:r>
      <w:r>
        <w:rPr>
          <w:sz w:val="23"/>
          <w:szCs w:val="23"/>
        </w:rPr>
        <w:t>), valamint bázis vízfelmelegítési díj (MVHD</w:t>
      </w:r>
      <w:r>
        <w:rPr>
          <w:sz w:val="23"/>
          <w:szCs w:val="23"/>
          <w:vertAlign w:val="subscript"/>
        </w:rPr>
        <w:t>0</w:t>
      </w:r>
      <w:r>
        <w:rPr>
          <w:sz w:val="23"/>
          <w:szCs w:val="23"/>
        </w:rPr>
        <w:t xml:space="preserve">) </w:t>
      </w:r>
      <w:proofErr w:type="gramStart"/>
      <w:r>
        <w:rPr>
          <w:sz w:val="23"/>
          <w:szCs w:val="23"/>
        </w:rPr>
        <w:t>változásokat,  a</w:t>
      </w:r>
      <w:proofErr w:type="gramEnd"/>
      <w:r>
        <w:rPr>
          <w:sz w:val="23"/>
          <w:szCs w:val="23"/>
        </w:rPr>
        <w:t xml:space="preserve"> gázbeszerzés szerződés megkötését követően, a gázévet kezdődően alkalmazza.</w:t>
      </w:r>
    </w:p>
    <w:p w:rsidR="005C3FF7" w:rsidRDefault="005C3FF7" w:rsidP="005C3FF7">
      <w:pPr>
        <w:pStyle w:val="Default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sz w:val="23"/>
          <w:szCs w:val="23"/>
        </w:rPr>
        <w:tab/>
        <w:t xml:space="preserve">A fentiek szerinti árváltozásokról a Hajdúnánási Építő és Szolgáltató Kft. javaslatot készít az Önkormányzat részére, amely tartalmazza a számítási </w:t>
      </w:r>
      <w:proofErr w:type="spellStart"/>
      <w:r>
        <w:rPr>
          <w:sz w:val="23"/>
          <w:szCs w:val="23"/>
        </w:rPr>
        <w:t>alapadatokat</w:t>
      </w:r>
      <w:proofErr w:type="spellEnd"/>
      <w:r>
        <w:rPr>
          <w:sz w:val="23"/>
          <w:szCs w:val="23"/>
        </w:rPr>
        <w:t xml:space="preserve">, az árváltozások pontos mértékét és a hatálybalépés napját, valamint szöveges indoklást. A szolgáltató a díjemelési javaslatát véleményezésre megküldi az Energia Hivatal részéke, aki </w:t>
      </w:r>
      <w:proofErr w:type="spellStart"/>
      <w:r>
        <w:rPr>
          <w:sz w:val="23"/>
          <w:szCs w:val="23"/>
        </w:rPr>
        <w:t>max</w:t>
      </w:r>
      <w:proofErr w:type="spellEnd"/>
      <w:r>
        <w:rPr>
          <w:sz w:val="23"/>
          <w:szCs w:val="23"/>
        </w:rPr>
        <w:t xml:space="preserve">. 30 napon belül dönt az emelési javaslat elfogadásáról. Amennyiben 30 napon belül nem születik döntés a szolgáltató jogosult a díjemelési javaslatot közvetlenül az Önkormányzathoz eljuttatni. A képviselő-testület dönt a Hajdúnánási Építő és Szolgáltató Kft. javaslatáról az </w:t>
      </w:r>
      <w:proofErr w:type="spellStart"/>
      <w:r>
        <w:rPr>
          <w:sz w:val="23"/>
          <w:szCs w:val="23"/>
        </w:rPr>
        <w:t>árváltoztatásokkal</w:t>
      </w:r>
      <w:proofErr w:type="spellEnd"/>
      <w:r>
        <w:rPr>
          <w:sz w:val="23"/>
          <w:szCs w:val="23"/>
        </w:rPr>
        <w:t xml:space="preserve"> módosított hőszolgáltatási díj egyes </w:t>
      </w:r>
      <w:proofErr w:type="gramStart"/>
      <w:r>
        <w:rPr>
          <w:sz w:val="23"/>
          <w:szCs w:val="23"/>
        </w:rPr>
        <w:t>elemeiről</w:t>
      </w:r>
      <w:proofErr w:type="gramEnd"/>
      <w:r>
        <w:rPr>
          <w:sz w:val="23"/>
          <w:szCs w:val="23"/>
        </w:rPr>
        <w:t xml:space="preserve"> illetve nagyságrendjéről.</w:t>
      </w:r>
    </w:p>
    <w:p w:rsidR="005C3FF7" w:rsidRDefault="005C3FF7" w:rsidP="005C3FF7">
      <w:pPr>
        <w:pStyle w:val="Default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 </w:t>
      </w:r>
      <w:r>
        <w:rPr>
          <w:sz w:val="23"/>
          <w:szCs w:val="23"/>
        </w:rPr>
        <w:tab/>
        <w:t xml:space="preserve">Az évközi (gázéven belüli) deviza árfolyamváltozásokat miatti </w:t>
      </w:r>
      <w:proofErr w:type="spellStart"/>
      <w:r>
        <w:rPr>
          <w:sz w:val="23"/>
          <w:szCs w:val="23"/>
        </w:rPr>
        <w:t>hődíj</w:t>
      </w:r>
      <w:proofErr w:type="spellEnd"/>
      <w:r>
        <w:rPr>
          <w:sz w:val="23"/>
          <w:szCs w:val="23"/>
        </w:rPr>
        <w:t xml:space="preserve"> (</w:t>
      </w:r>
      <w:proofErr w:type="gramStart"/>
      <w:r>
        <w:rPr>
          <w:sz w:val="23"/>
          <w:szCs w:val="23"/>
        </w:rPr>
        <w:t>HD,MVHD</w:t>
      </w:r>
      <w:proofErr w:type="gramEnd"/>
      <w:r>
        <w:rPr>
          <w:sz w:val="23"/>
          <w:szCs w:val="23"/>
        </w:rPr>
        <w:t>) változások mértékét, a tárgyhónapot megelőző hónapban a gázszolgáltató által  kiállított számlán szereplő deviza árfolyamon kell figyelembe venni. A szolgáltató a változás mértékéről a fogyasztókat a tárgyhónapot megelőző hónap 20. napjáig köteles értesíteni. Az értesítés a kazánházban, az ügyfélszolgálati irodában, valamint a lépcsőházakban kihelyezett tájékoztatókon történik.</w:t>
      </w:r>
    </w:p>
    <w:p w:rsidR="005C3FF7" w:rsidRDefault="005C3FF7" w:rsidP="005C3FF7">
      <w:pPr>
        <w:pStyle w:val="Default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sz w:val="23"/>
          <w:szCs w:val="23"/>
        </w:rPr>
        <w:tab/>
        <w:t xml:space="preserve">A szolgáltató gázéven belül csak abban az esetben változtathatja meg a </w:t>
      </w:r>
      <w:proofErr w:type="spellStart"/>
      <w:r>
        <w:rPr>
          <w:sz w:val="23"/>
          <w:szCs w:val="23"/>
        </w:rPr>
        <w:t>hődíj</w:t>
      </w:r>
      <w:proofErr w:type="spellEnd"/>
      <w:r>
        <w:rPr>
          <w:sz w:val="23"/>
          <w:szCs w:val="23"/>
        </w:rPr>
        <w:t xml:space="preserve"> mértékét, ha a tárgyhónapban meghatározott </w:t>
      </w:r>
      <w:proofErr w:type="spellStart"/>
      <w:r>
        <w:rPr>
          <w:sz w:val="23"/>
          <w:szCs w:val="23"/>
        </w:rPr>
        <w:t>hődíj</w:t>
      </w:r>
      <w:proofErr w:type="spellEnd"/>
      <w:r>
        <w:rPr>
          <w:sz w:val="23"/>
          <w:szCs w:val="23"/>
        </w:rPr>
        <w:t xml:space="preserve"> és a tárgyhónapot megelőző hónapban alkalmazott </w:t>
      </w:r>
      <w:proofErr w:type="spellStart"/>
      <w:proofErr w:type="gramStart"/>
      <w:r>
        <w:rPr>
          <w:sz w:val="23"/>
          <w:szCs w:val="23"/>
        </w:rPr>
        <w:t>hődíj</w:t>
      </w:r>
      <w:proofErr w:type="spellEnd"/>
      <w:r>
        <w:rPr>
          <w:sz w:val="23"/>
          <w:szCs w:val="23"/>
        </w:rPr>
        <w:t xml:space="preserve">  különbözetének</w:t>
      </w:r>
      <w:proofErr w:type="gramEnd"/>
      <w:r>
        <w:rPr>
          <w:sz w:val="23"/>
          <w:szCs w:val="23"/>
        </w:rPr>
        <w:t xml:space="preserve"> abszolút értéke az 50 Ft-ot meghaladja.</w:t>
      </w:r>
    </w:p>
    <w:p w:rsidR="005C3FF7" w:rsidRDefault="005C3FF7" w:rsidP="005C3FF7">
      <w:pPr>
        <w:pStyle w:val="Default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sz w:val="23"/>
          <w:szCs w:val="23"/>
        </w:rPr>
        <w:tab/>
        <w:t>Hajdúnánási Építő és Szolgáltató Kft. az árváltozást követően utólag tájékoztatási kötelezettsége van a Polgármester felé. Utóellenőrzés céljából a tájékoztató mellékleteként csatolni kell a számításoknál figyelembe vett bizonylatok másolatát is.</w:t>
      </w:r>
    </w:p>
    <w:p w:rsidR="005C3FF7" w:rsidRDefault="005C3FF7" w:rsidP="005C3FF7">
      <w:pPr>
        <w:pStyle w:val="Default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>
        <w:rPr>
          <w:sz w:val="23"/>
          <w:szCs w:val="23"/>
        </w:rPr>
        <w:tab/>
        <w:t xml:space="preserve">Amennyiben a villamos energia-, a rendszerhasználati díj, valamint a deviza árfolyam változása </w:t>
      </w:r>
      <w:proofErr w:type="gramStart"/>
      <w:r>
        <w:rPr>
          <w:sz w:val="23"/>
          <w:szCs w:val="23"/>
        </w:rPr>
        <w:t>miatt  az</w:t>
      </w:r>
      <w:proofErr w:type="gramEnd"/>
      <w:r>
        <w:rPr>
          <w:sz w:val="23"/>
          <w:szCs w:val="23"/>
        </w:rPr>
        <w:t xml:space="preserve"> aktualizált </w:t>
      </w:r>
      <w:proofErr w:type="spellStart"/>
      <w:r>
        <w:rPr>
          <w:sz w:val="23"/>
          <w:szCs w:val="23"/>
        </w:rPr>
        <w:t>hődíj</w:t>
      </w:r>
      <w:proofErr w:type="spellEnd"/>
      <w:r>
        <w:rPr>
          <w:sz w:val="23"/>
          <w:szCs w:val="23"/>
        </w:rPr>
        <w:t xml:space="preserve"> magasabb mint a bázis </w:t>
      </w:r>
      <w:proofErr w:type="spellStart"/>
      <w:r>
        <w:rPr>
          <w:sz w:val="23"/>
          <w:szCs w:val="23"/>
        </w:rPr>
        <w:t>hődíj</w:t>
      </w:r>
      <w:proofErr w:type="spellEnd"/>
      <w:r>
        <w:rPr>
          <w:sz w:val="23"/>
          <w:szCs w:val="23"/>
        </w:rPr>
        <w:t>, abban az esetben a szolgáltató a 3. pontnak megfelelően köteles eljárni.</w:t>
      </w:r>
    </w:p>
    <w:p w:rsidR="005C3FF7" w:rsidRDefault="005C3FF7" w:rsidP="005C3FF7">
      <w:pPr>
        <w:pStyle w:val="Default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>
        <w:rPr>
          <w:sz w:val="23"/>
          <w:szCs w:val="23"/>
        </w:rPr>
        <w:tab/>
        <w:t>A díjképzési számításnál figyelembe vett bázis adatok:</w:t>
      </w:r>
    </w:p>
    <w:p w:rsidR="005C3FF7" w:rsidRDefault="005C3FF7" w:rsidP="005C3FF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HD</w:t>
      </w:r>
      <w:r>
        <w:rPr>
          <w:sz w:val="23"/>
          <w:szCs w:val="23"/>
          <w:vertAlign w:val="subscript"/>
        </w:rPr>
        <w:t>0</w:t>
      </w:r>
      <w:r>
        <w:rPr>
          <w:sz w:val="23"/>
          <w:szCs w:val="23"/>
        </w:rPr>
        <w:t xml:space="preserve"> = 3.900 Ft/GJ</w:t>
      </w:r>
    </w:p>
    <w:p w:rsidR="005C3FF7" w:rsidRDefault="005C3FF7" w:rsidP="005C3FF7">
      <w:pPr>
        <w:pStyle w:val="Default"/>
        <w:jc w:val="center"/>
        <w:rPr>
          <w:sz w:val="23"/>
          <w:szCs w:val="23"/>
          <w:vertAlign w:val="superscript"/>
        </w:rPr>
      </w:pPr>
      <w:r>
        <w:rPr>
          <w:sz w:val="23"/>
          <w:szCs w:val="23"/>
        </w:rPr>
        <w:t>MVHD</w:t>
      </w:r>
      <w:r>
        <w:rPr>
          <w:sz w:val="23"/>
          <w:szCs w:val="23"/>
          <w:vertAlign w:val="subscript"/>
        </w:rPr>
        <w:t>0</w:t>
      </w:r>
      <w:r>
        <w:rPr>
          <w:sz w:val="23"/>
          <w:szCs w:val="23"/>
        </w:rPr>
        <w:t xml:space="preserve"> = 3.900 Ft/GJ</w:t>
      </w:r>
      <w:r>
        <w:rPr>
          <w:sz w:val="23"/>
          <w:szCs w:val="23"/>
        </w:rPr>
        <w:br/>
        <w:t>V</w:t>
      </w:r>
      <w:r>
        <w:rPr>
          <w:sz w:val="23"/>
          <w:szCs w:val="23"/>
          <w:vertAlign w:val="subscript"/>
        </w:rPr>
        <w:t>0</w:t>
      </w:r>
      <w:r>
        <w:rPr>
          <w:sz w:val="23"/>
          <w:szCs w:val="23"/>
        </w:rPr>
        <w:t xml:space="preserve"> = 40,25 Ft/kWh</w:t>
      </w:r>
      <w:r>
        <w:rPr>
          <w:sz w:val="23"/>
          <w:szCs w:val="23"/>
        </w:rPr>
        <w:br/>
        <w:t>RHD</w:t>
      </w:r>
      <w:r>
        <w:rPr>
          <w:sz w:val="23"/>
          <w:szCs w:val="23"/>
          <w:vertAlign w:val="subscript"/>
        </w:rPr>
        <w:t>0</w:t>
      </w:r>
      <w:r>
        <w:rPr>
          <w:sz w:val="23"/>
          <w:szCs w:val="23"/>
        </w:rPr>
        <w:t xml:space="preserve"> = 13,74 Ft/m</w:t>
      </w:r>
      <w:r>
        <w:rPr>
          <w:sz w:val="23"/>
          <w:szCs w:val="23"/>
          <w:vertAlign w:val="superscript"/>
        </w:rPr>
        <w:t>3</w:t>
      </w:r>
    </w:p>
    <w:p w:rsidR="005C3FF7" w:rsidRDefault="005C3FF7" w:rsidP="005C3FF7">
      <w:pPr>
        <w:pStyle w:val="Default"/>
        <w:jc w:val="center"/>
        <w:rPr>
          <w:sz w:val="23"/>
          <w:szCs w:val="23"/>
          <w:vertAlign w:val="superscript"/>
        </w:rPr>
      </w:pPr>
      <w:r>
        <w:rPr>
          <w:sz w:val="23"/>
          <w:szCs w:val="23"/>
        </w:rPr>
        <w:t>USD</w:t>
      </w:r>
      <w:r>
        <w:rPr>
          <w:sz w:val="23"/>
          <w:szCs w:val="23"/>
          <w:vertAlign w:val="subscript"/>
        </w:rPr>
        <w:t>0</w:t>
      </w:r>
      <w:r>
        <w:rPr>
          <w:sz w:val="23"/>
          <w:szCs w:val="23"/>
        </w:rPr>
        <w:t xml:space="preserve"> = 250 Ft/USD</w:t>
      </w:r>
      <w:r>
        <w:rPr>
          <w:sz w:val="23"/>
          <w:szCs w:val="23"/>
        </w:rPr>
        <w:br/>
        <w:t>GD</w:t>
      </w:r>
      <w:r>
        <w:rPr>
          <w:sz w:val="23"/>
          <w:szCs w:val="23"/>
          <w:vertAlign w:val="subscript"/>
        </w:rPr>
        <w:t>0</w:t>
      </w:r>
      <w:r>
        <w:rPr>
          <w:sz w:val="23"/>
          <w:szCs w:val="23"/>
        </w:rPr>
        <w:t xml:space="preserve"> = 68,35 Ft/m</w:t>
      </w:r>
      <w:r>
        <w:rPr>
          <w:sz w:val="23"/>
          <w:szCs w:val="23"/>
          <w:vertAlign w:val="superscript"/>
        </w:rPr>
        <w:t>3</w:t>
      </w:r>
    </w:p>
    <w:p w:rsidR="005C3FF7" w:rsidRDefault="005C3FF7" w:rsidP="005C3FF7">
      <w:pPr>
        <w:pStyle w:val="Default"/>
        <w:jc w:val="center"/>
        <w:rPr>
          <w:sz w:val="23"/>
          <w:szCs w:val="23"/>
          <w:vertAlign w:val="superscript"/>
        </w:rPr>
      </w:pPr>
      <w:r>
        <w:rPr>
          <w:sz w:val="23"/>
          <w:szCs w:val="23"/>
        </w:rPr>
        <w:t>EURO</w:t>
      </w:r>
      <w:r>
        <w:rPr>
          <w:sz w:val="23"/>
          <w:szCs w:val="23"/>
          <w:vertAlign w:val="subscript"/>
        </w:rPr>
        <w:t>0</w:t>
      </w:r>
      <w:r>
        <w:rPr>
          <w:sz w:val="23"/>
          <w:szCs w:val="23"/>
        </w:rPr>
        <w:t xml:space="preserve"> = 310 Ft/EURO</w:t>
      </w:r>
    </w:p>
    <w:p w:rsidR="005C3FF7" w:rsidRDefault="005C3FF7" w:rsidP="005C3FF7">
      <w:pPr>
        <w:jc w:val="both"/>
        <w:rPr>
          <w:rFonts w:ascii="Garamond" w:hAnsi="Garamond"/>
          <w:sz w:val="22"/>
          <w:szCs w:val="22"/>
        </w:rPr>
      </w:pPr>
    </w:p>
    <w:p w:rsidR="005C3FF7" w:rsidRDefault="005C3FF7" w:rsidP="005C3FF7">
      <w:pPr>
        <w:jc w:val="both"/>
        <w:rPr>
          <w:rFonts w:ascii="Garamond" w:hAnsi="Garamond"/>
          <w:sz w:val="22"/>
          <w:szCs w:val="22"/>
        </w:rPr>
      </w:pPr>
    </w:p>
    <w:p w:rsidR="005C3FF7" w:rsidRDefault="005C3FF7" w:rsidP="005C3FF7">
      <w:pPr>
        <w:jc w:val="both"/>
        <w:rPr>
          <w:rFonts w:ascii="Garamond" w:hAnsi="Garamond"/>
          <w:sz w:val="22"/>
          <w:szCs w:val="22"/>
        </w:rPr>
      </w:pPr>
    </w:p>
    <w:p w:rsidR="005C3FF7" w:rsidRPr="006B0E27" w:rsidRDefault="005C3FF7" w:rsidP="005C3FF7">
      <w:pPr>
        <w:jc w:val="both"/>
      </w:pPr>
      <w:r w:rsidRPr="006B0E27">
        <w:t xml:space="preserve">Hajdúnánás, </w:t>
      </w:r>
      <w:r>
        <w:t>2010. június 24</w:t>
      </w:r>
      <w:r w:rsidRPr="006B0E27">
        <w:t>.</w:t>
      </w:r>
    </w:p>
    <w:p w:rsidR="005C3FF7" w:rsidRPr="006B0E27" w:rsidRDefault="005C3FF7" w:rsidP="005C3FF7"/>
    <w:p w:rsidR="005C3FF7" w:rsidRPr="00CF0864" w:rsidRDefault="005C3FF7" w:rsidP="005C3FF7">
      <w:pPr>
        <w:tabs>
          <w:tab w:val="center" w:pos="7020"/>
        </w:tabs>
        <w:jc w:val="both"/>
        <w:rPr>
          <w:b/>
          <w:sz w:val="25"/>
          <w:szCs w:val="25"/>
        </w:rPr>
      </w:pPr>
    </w:p>
    <w:p w:rsidR="005C3FF7" w:rsidRDefault="005C3FF7" w:rsidP="005C3FF7"/>
    <w:p w:rsidR="00C01B02" w:rsidRDefault="00C01B02"/>
    <w:sectPr w:rsidR="00C01B02" w:rsidSect="005C3FF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F0"/>
    <w:rsid w:val="001B53F0"/>
    <w:rsid w:val="005C3FF7"/>
    <w:rsid w:val="00C0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1A513-8B2B-45EC-9E26-998D6ECF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C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basedOn w:val="Norml"/>
    <w:rsid w:val="005C3FF7"/>
    <w:pPr>
      <w:widowControl w:val="0"/>
      <w:suppressAutoHyphens/>
      <w:autoSpaceDE w:val="0"/>
    </w:pPr>
    <w:rPr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Szombati Ágnes</dc:creator>
  <cp:keywords/>
  <dc:description/>
  <cp:lastModifiedBy>Dr. Szombati Ágnes</cp:lastModifiedBy>
  <cp:revision>2</cp:revision>
  <dcterms:created xsi:type="dcterms:W3CDTF">2017-11-02T07:36:00Z</dcterms:created>
  <dcterms:modified xsi:type="dcterms:W3CDTF">2017-11-02T07:37:00Z</dcterms:modified>
</cp:coreProperties>
</file>