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3522" w:rsidRDefault="00B53522" w:rsidP="006B2F59">
      <w:pPr>
        <w:ind w:right="0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5E04A3" w:rsidRPr="0077487D" w:rsidRDefault="005E04A3" w:rsidP="006B2F59">
      <w:pPr>
        <w:ind w:right="0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4D4BB3" w:rsidRDefault="004D4BB3" w:rsidP="006B2F59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62134" w:rsidRDefault="003F1C86" w:rsidP="006B2F59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2.</w:t>
      </w:r>
      <w:r w:rsidR="00E607AB" w:rsidRPr="00EA3E8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melléklet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1C86">
        <w:rPr>
          <w:rFonts w:ascii="Times New Roman" w:hAnsi="Times New Roman" w:cs="Times New Roman"/>
          <w:color w:val="000000" w:themeColor="text1"/>
          <w:sz w:val="24"/>
          <w:szCs w:val="24"/>
        </w:rPr>
        <w:t>11/2017 (X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II. 18.) önkormányzati rendelethez</w:t>
      </w:r>
    </w:p>
    <w:p w:rsidR="003F1C86" w:rsidRDefault="003F1C86" w:rsidP="006B2F59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1C86" w:rsidRPr="00EA3E8F" w:rsidRDefault="003F1C86" w:rsidP="006B2F59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A3E8F" w:rsidRDefault="00EA3E8F" w:rsidP="00EA3E8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ZALKOD HELYI EGYEDI VÉDETTSÉGŰ ÉPÜLET</w:t>
      </w:r>
    </w:p>
    <w:p w:rsidR="003F1C86" w:rsidRDefault="003F1C86" w:rsidP="00EA3E8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Rcsostblzat"/>
        <w:tblW w:w="8897" w:type="dxa"/>
        <w:tblLayout w:type="fixed"/>
        <w:tblLook w:val="04A0" w:firstRow="1" w:lastRow="0" w:firstColumn="1" w:lastColumn="0" w:noHBand="0" w:noVBand="1"/>
      </w:tblPr>
      <w:tblGrid>
        <w:gridCol w:w="675"/>
        <w:gridCol w:w="1276"/>
        <w:gridCol w:w="851"/>
        <w:gridCol w:w="2551"/>
        <w:gridCol w:w="1985"/>
        <w:gridCol w:w="1559"/>
      </w:tblGrid>
      <w:tr w:rsidR="00EA3E8F" w:rsidTr="002E7627">
        <w:tc>
          <w:tcPr>
            <w:tcW w:w="675" w:type="dxa"/>
            <w:vAlign w:val="center"/>
          </w:tcPr>
          <w:p w:rsidR="00EA3E8F" w:rsidRPr="003F1C86" w:rsidRDefault="00EA3E8F" w:rsidP="002E7627">
            <w:pPr>
              <w:ind w:right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F1C86">
              <w:rPr>
                <w:rFonts w:ascii="Times New Roman" w:hAnsi="Times New Roman" w:cs="Times New Roman"/>
                <w:b/>
                <w:sz w:val="18"/>
                <w:szCs w:val="18"/>
              </w:rPr>
              <w:t>Sor-szám</w:t>
            </w:r>
          </w:p>
        </w:tc>
        <w:tc>
          <w:tcPr>
            <w:tcW w:w="1276" w:type="dxa"/>
            <w:vAlign w:val="center"/>
          </w:tcPr>
          <w:p w:rsidR="00EA3E8F" w:rsidRPr="003F1C86" w:rsidRDefault="00EA3E8F" w:rsidP="002E7627">
            <w:pPr>
              <w:ind w:right="34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F1C86">
              <w:rPr>
                <w:rFonts w:ascii="Times New Roman" w:hAnsi="Times New Roman" w:cs="Times New Roman"/>
                <w:b/>
                <w:sz w:val="18"/>
                <w:szCs w:val="18"/>
              </w:rPr>
              <w:t>Megnevezés</w:t>
            </w:r>
          </w:p>
        </w:tc>
        <w:tc>
          <w:tcPr>
            <w:tcW w:w="851" w:type="dxa"/>
            <w:vAlign w:val="center"/>
          </w:tcPr>
          <w:p w:rsidR="00EA3E8F" w:rsidRPr="003F1C86" w:rsidRDefault="00EA3E8F" w:rsidP="002E7627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7"/>
                <w:sz w:val="18"/>
                <w:szCs w:val="18"/>
                <w:lang w:eastAsia="hu-HU"/>
              </w:rPr>
            </w:pPr>
            <w:r w:rsidRPr="003F1C86">
              <w:rPr>
                <w:rFonts w:ascii="Times New Roman" w:eastAsia="Times New Roman" w:hAnsi="Times New Roman" w:cs="Times New Roman"/>
                <w:b/>
                <w:color w:val="000000"/>
                <w:spacing w:val="7"/>
                <w:sz w:val="18"/>
                <w:szCs w:val="18"/>
                <w:lang w:eastAsia="hu-HU"/>
              </w:rPr>
              <w:t>Nyilván-</w:t>
            </w:r>
          </w:p>
          <w:p w:rsidR="00EA3E8F" w:rsidRPr="003F1C86" w:rsidRDefault="00EA3E8F" w:rsidP="002E7627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7"/>
                <w:sz w:val="18"/>
                <w:szCs w:val="18"/>
                <w:lang w:eastAsia="hu-HU"/>
              </w:rPr>
            </w:pPr>
            <w:r w:rsidRPr="003F1C86">
              <w:rPr>
                <w:rFonts w:ascii="Times New Roman" w:eastAsia="Times New Roman" w:hAnsi="Times New Roman" w:cs="Times New Roman"/>
                <w:b/>
                <w:color w:val="000000"/>
                <w:spacing w:val="7"/>
                <w:sz w:val="18"/>
                <w:szCs w:val="18"/>
                <w:lang w:eastAsia="hu-HU"/>
              </w:rPr>
              <w:t>tartási</w:t>
            </w:r>
          </w:p>
          <w:p w:rsidR="00EA3E8F" w:rsidRPr="003F1C86" w:rsidRDefault="00EA3E8F" w:rsidP="002E7627">
            <w:pPr>
              <w:ind w:right="-108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F1C86">
              <w:rPr>
                <w:rFonts w:ascii="Times New Roman" w:eastAsia="Times New Roman" w:hAnsi="Times New Roman" w:cs="Times New Roman"/>
                <w:b/>
                <w:color w:val="000000"/>
                <w:spacing w:val="7"/>
                <w:sz w:val="18"/>
                <w:szCs w:val="18"/>
                <w:lang w:eastAsia="hu-HU"/>
              </w:rPr>
              <w:t>szám</w:t>
            </w:r>
          </w:p>
        </w:tc>
        <w:tc>
          <w:tcPr>
            <w:tcW w:w="2551" w:type="dxa"/>
            <w:vAlign w:val="center"/>
          </w:tcPr>
          <w:p w:rsidR="00EA3E8F" w:rsidRPr="003F1C86" w:rsidRDefault="00EA3E8F" w:rsidP="003F1C86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hu-HU"/>
              </w:rPr>
            </w:pPr>
            <w:r w:rsidRPr="003F1C8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hu-HU"/>
              </w:rPr>
              <w:t>Fot</w:t>
            </w:r>
            <w:r w:rsidR="003F1C8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hu-HU"/>
              </w:rPr>
              <w:t>ó</w:t>
            </w:r>
          </w:p>
        </w:tc>
        <w:tc>
          <w:tcPr>
            <w:tcW w:w="1985" w:type="dxa"/>
            <w:vAlign w:val="center"/>
          </w:tcPr>
          <w:p w:rsidR="00EA3E8F" w:rsidRPr="003F1C86" w:rsidRDefault="00EA3E8F" w:rsidP="002E762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F1C8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hu-HU"/>
              </w:rPr>
              <w:t>Azonosító adatok</w:t>
            </w:r>
          </w:p>
        </w:tc>
        <w:tc>
          <w:tcPr>
            <w:tcW w:w="1559" w:type="dxa"/>
            <w:vAlign w:val="center"/>
          </w:tcPr>
          <w:p w:rsidR="00EA3E8F" w:rsidRPr="003F1C86" w:rsidRDefault="00EA3E8F" w:rsidP="002E7627">
            <w:pPr>
              <w:ind w:right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F1C86">
              <w:rPr>
                <w:rFonts w:ascii="Times New Roman" w:eastAsia="Times New Roman" w:hAnsi="Times New Roman" w:cs="Times New Roman"/>
                <w:color w:val="000000"/>
                <w:spacing w:val="4"/>
                <w:sz w:val="18"/>
                <w:szCs w:val="18"/>
                <w:lang w:eastAsia="hu-HU"/>
              </w:rPr>
              <w:t>Helymeghatározás adatai</w:t>
            </w:r>
          </w:p>
        </w:tc>
      </w:tr>
      <w:tr w:rsidR="00EA3E8F" w:rsidTr="002E7627">
        <w:tc>
          <w:tcPr>
            <w:tcW w:w="675" w:type="dxa"/>
          </w:tcPr>
          <w:p w:rsidR="00EA3E8F" w:rsidRPr="008A098D" w:rsidRDefault="006B382D" w:rsidP="002E7627">
            <w:pPr>
              <w:ind w:right="34"/>
              <w:jc w:val="left"/>
              <w:rPr>
                <w:rFonts w:ascii="Titillium Lt" w:hAnsi="Titillium Lt" w:cs="Times New Roman"/>
                <w:sz w:val="18"/>
                <w:szCs w:val="18"/>
              </w:rPr>
            </w:pPr>
            <w:r>
              <w:rPr>
                <w:rFonts w:ascii="Titillium Lt" w:hAnsi="Titillium Lt" w:cs="Times New Roman"/>
                <w:sz w:val="18"/>
                <w:szCs w:val="18"/>
              </w:rPr>
              <w:t>1</w:t>
            </w:r>
          </w:p>
        </w:tc>
        <w:tc>
          <w:tcPr>
            <w:tcW w:w="1276" w:type="dxa"/>
          </w:tcPr>
          <w:p w:rsidR="00EA3E8F" w:rsidRDefault="002E7627" w:rsidP="002E7627">
            <w:pPr>
              <w:tabs>
                <w:tab w:val="left" w:pos="2444"/>
              </w:tabs>
              <w:ind w:right="33"/>
              <w:jc w:val="left"/>
              <w:rPr>
                <w:rFonts w:ascii="Titillium Lt" w:hAnsi="Titillium Lt" w:cs="Times New Roman"/>
                <w:sz w:val="18"/>
                <w:szCs w:val="18"/>
              </w:rPr>
            </w:pPr>
            <w:r w:rsidRPr="006B382D">
              <w:rPr>
                <w:rFonts w:ascii="Titillium Lt" w:hAnsi="Titillium Lt" w:cs="Times New Roman"/>
                <w:sz w:val="18"/>
                <w:szCs w:val="18"/>
              </w:rPr>
              <w:t>v. Iskola</w:t>
            </w:r>
            <w:r w:rsidR="006B382D">
              <w:rPr>
                <w:rFonts w:ascii="Titillium Lt" w:hAnsi="Titillium Lt" w:cs="Times New Roman"/>
                <w:sz w:val="18"/>
                <w:szCs w:val="18"/>
              </w:rPr>
              <w:t>,</w:t>
            </w:r>
          </w:p>
          <w:p w:rsidR="006B382D" w:rsidRPr="006B382D" w:rsidRDefault="006B382D" w:rsidP="002E7627">
            <w:pPr>
              <w:tabs>
                <w:tab w:val="left" w:pos="2444"/>
              </w:tabs>
              <w:ind w:right="33"/>
              <w:jc w:val="left"/>
              <w:rPr>
                <w:rFonts w:ascii="Titillium Lt" w:hAnsi="Titillium Lt" w:cs="Times New Roman"/>
                <w:sz w:val="18"/>
                <w:szCs w:val="18"/>
              </w:rPr>
            </w:pPr>
            <w:r>
              <w:rPr>
                <w:rFonts w:ascii="Titillium Lt" w:hAnsi="Titillium Lt" w:cs="Times New Roman"/>
                <w:sz w:val="18"/>
                <w:szCs w:val="18"/>
              </w:rPr>
              <w:t xml:space="preserve">jelenleg </w:t>
            </w:r>
            <w:proofErr w:type="spellStart"/>
            <w:r>
              <w:rPr>
                <w:rFonts w:ascii="Titillium Lt" w:hAnsi="Titillium Lt" w:cs="Times New Roman"/>
                <w:sz w:val="18"/>
                <w:szCs w:val="18"/>
              </w:rPr>
              <w:t>gk.i</w:t>
            </w:r>
            <w:bookmarkStart w:id="0" w:name="_GoBack"/>
            <w:bookmarkEnd w:id="0"/>
            <w:r>
              <w:rPr>
                <w:rFonts w:ascii="Titillium Lt" w:hAnsi="Titillium Lt" w:cs="Times New Roman"/>
                <w:sz w:val="18"/>
                <w:szCs w:val="18"/>
              </w:rPr>
              <w:t>maház</w:t>
            </w:r>
            <w:proofErr w:type="spellEnd"/>
          </w:p>
        </w:tc>
        <w:tc>
          <w:tcPr>
            <w:tcW w:w="851" w:type="dxa"/>
          </w:tcPr>
          <w:p w:rsidR="00EA3E8F" w:rsidRPr="001D05D1" w:rsidRDefault="006B382D" w:rsidP="002E7627">
            <w:pPr>
              <w:jc w:val="left"/>
              <w:rPr>
                <w:rFonts w:ascii="Titillium Lt" w:hAnsi="Titillium Lt" w:cs="Times New Roman"/>
                <w:b/>
                <w:sz w:val="18"/>
                <w:szCs w:val="18"/>
              </w:rPr>
            </w:pPr>
            <w:r>
              <w:rPr>
                <w:rFonts w:ascii="Titillium Lt" w:hAnsi="Titillium Lt" w:cs="Times New Roman"/>
                <w:b/>
                <w:sz w:val="18"/>
                <w:szCs w:val="18"/>
              </w:rPr>
              <w:t>HV</w:t>
            </w:r>
          </w:p>
        </w:tc>
        <w:tc>
          <w:tcPr>
            <w:tcW w:w="2551" w:type="dxa"/>
          </w:tcPr>
          <w:p w:rsidR="00EA3E8F" w:rsidRDefault="002E7627" w:rsidP="002E7627">
            <w:pPr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6B824124" wp14:editId="7F09E5CE">
                  <wp:extent cx="1533525" cy="1188188"/>
                  <wp:effectExtent l="0" t="0" r="0" b="0"/>
                  <wp:docPr id="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852" cy="1196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EA3E8F" w:rsidRPr="006B382D" w:rsidRDefault="006B382D" w:rsidP="003F1C86">
            <w:pPr>
              <w:ind w:right="0"/>
              <w:jc w:val="both"/>
              <w:rPr>
                <w:rFonts w:ascii="Titillium Lt" w:hAnsi="Titillium Lt" w:cs="Times New Roman"/>
                <w:b/>
                <w:sz w:val="18"/>
                <w:szCs w:val="18"/>
              </w:rPr>
            </w:pPr>
            <w:r w:rsidRPr="006B382D">
              <w:rPr>
                <w:rFonts w:ascii="Titillium Lt" w:hAnsi="Titillium Lt" w:cs="Times New Roman"/>
                <w:b/>
                <w:sz w:val="18"/>
                <w:szCs w:val="18"/>
              </w:rPr>
              <w:t xml:space="preserve">Az 1930-as évekbe épített </w:t>
            </w:r>
            <w:proofErr w:type="spellStart"/>
            <w:r w:rsidRPr="006B382D">
              <w:rPr>
                <w:rFonts w:ascii="Titillium Lt" w:hAnsi="Titillium Lt" w:cs="Times New Roman"/>
                <w:b/>
                <w:sz w:val="18"/>
                <w:szCs w:val="18"/>
              </w:rPr>
              <w:t>Klebesberg</w:t>
            </w:r>
            <w:proofErr w:type="spellEnd"/>
            <w:r w:rsidRPr="006B382D">
              <w:rPr>
                <w:rFonts w:ascii="Titillium Lt" w:hAnsi="Titillium Lt" w:cs="Times New Roman"/>
                <w:b/>
                <w:sz w:val="18"/>
                <w:szCs w:val="18"/>
              </w:rPr>
              <w:t xml:space="preserve"> iskola</w:t>
            </w:r>
          </w:p>
        </w:tc>
        <w:tc>
          <w:tcPr>
            <w:tcW w:w="1559" w:type="dxa"/>
          </w:tcPr>
          <w:p w:rsidR="00EA3E8F" w:rsidRPr="008A098D" w:rsidRDefault="006B382D" w:rsidP="002E7627">
            <w:pPr>
              <w:jc w:val="left"/>
              <w:rPr>
                <w:rFonts w:ascii="Titillium Lt" w:hAnsi="Titillium Lt" w:cs="Times New Roman"/>
                <w:b/>
                <w:sz w:val="18"/>
                <w:szCs w:val="18"/>
              </w:rPr>
            </w:pPr>
            <w:r>
              <w:rPr>
                <w:rFonts w:ascii="Titillium Lt" w:hAnsi="Titillium Lt" w:cs="Times New Roman"/>
                <w:b/>
                <w:sz w:val="18"/>
                <w:szCs w:val="18"/>
              </w:rPr>
              <w:t>1930-as évek</w:t>
            </w:r>
          </w:p>
        </w:tc>
      </w:tr>
    </w:tbl>
    <w:p w:rsidR="00E607AB" w:rsidRDefault="00E607AB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B382D" w:rsidRDefault="006B382D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C43C8" w:rsidRDefault="00CC43C8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C43C8" w:rsidRDefault="00CC43C8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C43C8" w:rsidRDefault="00CC43C8" w:rsidP="00E607AB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E7627" w:rsidRDefault="00CC43C8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2E762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94329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E7627">
        <w:rPr>
          <w:rFonts w:ascii="Times New Roman" w:hAnsi="Times New Roman" w:cs="Times New Roman"/>
          <w:color w:val="000000" w:themeColor="text1"/>
          <w:sz w:val="24"/>
          <w:szCs w:val="24"/>
        </w:rPr>
        <w:t>sz.</w:t>
      </w:r>
      <w:r w:rsidR="0094329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függelék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center"/>
        <w:rPr>
          <w:rFonts w:ascii="Titillium Bd" w:hAnsi="Titillium Bd" w:cs="Arial-BoldMT"/>
          <w:b/>
          <w:bCs/>
          <w:sz w:val="24"/>
          <w:szCs w:val="24"/>
        </w:rPr>
      </w:pPr>
      <w:r w:rsidRPr="003B72CD">
        <w:rPr>
          <w:rFonts w:ascii="Titillium Bd" w:hAnsi="Titillium Bd" w:cs="Arial-BoldMT"/>
          <w:b/>
          <w:bCs/>
          <w:sz w:val="24"/>
          <w:szCs w:val="24"/>
        </w:rPr>
        <w:t>ÖRÖKSÉGVÉDELEMMEL ÉRINTETT INGATLANOK JEGYZÉKE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center"/>
        <w:rPr>
          <w:rFonts w:ascii="Titillium Bd" w:hAnsi="Titillium Bd" w:cs="ArialMT"/>
          <w:sz w:val="20"/>
          <w:szCs w:val="20"/>
        </w:rPr>
      </w:pPr>
      <w:r w:rsidRPr="003B72CD">
        <w:rPr>
          <w:rFonts w:ascii="Titillium Bd" w:hAnsi="Titillium Bd" w:cs="ArialMT"/>
          <w:sz w:val="20"/>
          <w:szCs w:val="20"/>
        </w:rPr>
        <w:t>(a BO-08D/ÉH/2349-2/2017. sz. levél melléklete)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Bd" w:hAnsi="Titillium Bd" w:cs="Arial-BoldMT"/>
          <w:b/>
          <w:bCs/>
          <w:sz w:val="20"/>
          <w:szCs w:val="20"/>
        </w:rPr>
      </w:pPr>
      <w:proofErr w:type="gramStart"/>
      <w:r w:rsidRPr="003B72CD">
        <w:rPr>
          <w:rFonts w:ascii="Titillium Bd" w:hAnsi="Titillium Bd" w:cs="Arial-BoldMT"/>
          <w:b/>
          <w:bCs/>
          <w:sz w:val="20"/>
          <w:szCs w:val="20"/>
        </w:rPr>
        <w:t>helyrajzi</w:t>
      </w:r>
      <w:proofErr w:type="gramEnd"/>
      <w:r w:rsidRPr="003B72CD">
        <w:rPr>
          <w:rFonts w:ascii="Titillium Bd" w:hAnsi="Titillium Bd" w:cs="Arial-BoldMT"/>
          <w:b/>
          <w:bCs/>
          <w:sz w:val="20"/>
          <w:szCs w:val="20"/>
        </w:rPr>
        <w:t xml:space="preserve"> szám    védettség jogi jellege     Törzsszám             védett örökségi érték neve</w:t>
      </w:r>
    </w:p>
    <w:p w:rsidR="002E7627" w:rsidRPr="003B72CD" w:rsidRDefault="002E7627" w:rsidP="002E7627">
      <w:pPr>
        <w:autoSpaceDE w:val="0"/>
        <w:autoSpaceDN w:val="0"/>
        <w:adjustRightInd w:val="0"/>
        <w:ind w:left="138" w:right="0" w:firstLine="2694"/>
        <w:jc w:val="left"/>
        <w:rPr>
          <w:rFonts w:ascii="Titillium Bd" w:hAnsi="Titillium Bd" w:cs="Arial-BoldMT"/>
          <w:b/>
          <w:bCs/>
          <w:sz w:val="20"/>
          <w:szCs w:val="20"/>
        </w:rPr>
      </w:pPr>
      <w:r w:rsidRPr="003B72CD">
        <w:rPr>
          <w:rFonts w:ascii="Titillium Bd" w:hAnsi="Titillium Bd" w:cs="Arial-BoldMT"/>
          <w:b/>
          <w:bCs/>
          <w:sz w:val="20"/>
          <w:szCs w:val="20"/>
        </w:rPr>
        <w:t>[Azonosító]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>02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régészeti lelőhely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16881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>045/1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régészeti lelőhely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16884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05/10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  <w:t>régészeti lelőhely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90383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Dózsa </w:t>
      </w:r>
      <w:proofErr w:type="spellStart"/>
      <w:r w:rsidRPr="003B72CD">
        <w:rPr>
          <w:rFonts w:ascii="Titillium Lt" w:hAnsi="Titillium Lt" w:cs="ArialMT"/>
          <w:sz w:val="18"/>
          <w:szCs w:val="18"/>
        </w:rPr>
        <w:t>TSZ-től</w:t>
      </w:r>
      <w:proofErr w:type="spellEnd"/>
      <w:r w:rsidRPr="003B72CD">
        <w:rPr>
          <w:rFonts w:ascii="Titillium Lt" w:hAnsi="Titillium Lt" w:cs="ArialMT"/>
          <w:sz w:val="18"/>
          <w:szCs w:val="18"/>
        </w:rPr>
        <w:t xml:space="preserve"> nyugatra</w:t>
      </w:r>
    </w:p>
    <w:p w:rsidR="002E7627" w:rsidRPr="003B72CD" w:rsidRDefault="002E7627" w:rsidP="002E7627">
      <w:pPr>
        <w:autoSpaceDE w:val="0"/>
        <w:autoSpaceDN w:val="0"/>
        <w:adjustRightInd w:val="0"/>
        <w:ind w:left="2832" w:right="0" w:firstLine="708"/>
        <w:jc w:val="left"/>
        <w:rPr>
          <w:rFonts w:ascii="Titillium Lt" w:hAnsi="Titillium Lt" w:cs="ArialMT"/>
          <w:sz w:val="18"/>
          <w:szCs w:val="18"/>
        </w:rPr>
      </w:pPr>
      <w:r w:rsidRPr="003B72CD">
        <w:rPr>
          <w:rFonts w:ascii="Titillium Lt" w:hAnsi="Titillium Lt" w:cs="ArialMT"/>
          <w:sz w:val="18"/>
          <w:szCs w:val="18"/>
        </w:rPr>
        <w:t xml:space="preserve">90385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Dózsa </w:t>
      </w:r>
      <w:proofErr w:type="spellStart"/>
      <w:r w:rsidRPr="003B72CD">
        <w:rPr>
          <w:rFonts w:ascii="Titillium Lt" w:hAnsi="Titillium Lt" w:cs="ArialMT"/>
          <w:sz w:val="18"/>
          <w:szCs w:val="18"/>
        </w:rPr>
        <w:t>TSZ-től</w:t>
      </w:r>
      <w:proofErr w:type="spellEnd"/>
      <w:r w:rsidRPr="003B72CD">
        <w:rPr>
          <w:rFonts w:ascii="Titillium Lt" w:hAnsi="Titillium Lt" w:cs="ArialMT"/>
          <w:sz w:val="18"/>
          <w:szCs w:val="18"/>
        </w:rPr>
        <w:t xml:space="preserve"> északra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05/12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05/13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05/17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05/22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90385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Dózsa </w:t>
      </w:r>
      <w:proofErr w:type="spellStart"/>
      <w:r w:rsidRPr="003B72CD">
        <w:rPr>
          <w:rFonts w:ascii="Titillium Lt" w:hAnsi="Titillium Lt" w:cs="ArialMT"/>
          <w:sz w:val="18"/>
          <w:szCs w:val="18"/>
        </w:rPr>
        <w:t>TSZ-től</w:t>
      </w:r>
      <w:proofErr w:type="spellEnd"/>
      <w:r w:rsidRPr="003B72CD">
        <w:rPr>
          <w:rFonts w:ascii="Titillium Lt" w:hAnsi="Titillium Lt" w:cs="ArialMT"/>
          <w:sz w:val="18"/>
          <w:szCs w:val="18"/>
        </w:rPr>
        <w:t xml:space="preserve"> északra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05/29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05/30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05/32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05/36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90383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Dózsa </w:t>
      </w:r>
      <w:proofErr w:type="spellStart"/>
      <w:r w:rsidRPr="003B72CD">
        <w:rPr>
          <w:rFonts w:ascii="Titillium Lt" w:hAnsi="Titillium Lt" w:cs="ArialMT"/>
          <w:sz w:val="18"/>
          <w:szCs w:val="18"/>
        </w:rPr>
        <w:t>TSZ-től</w:t>
      </w:r>
      <w:proofErr w:type="spellEnd"/>
      <w:r w:rsidRPr="003B72CD">
        <w:rPr>
          <w:rFonts w:ascii="Titillium Lt" w:hAnsi="Titillium Lt" w:cs="ArialMT"/>
          <w:sz w:val="18"/>
          <w:szCs w:val="18"/>
        </w:rPr>
        <w:t xml:space="preserve"> nyugatra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05/37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05/7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90385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Dózsa </w:t>
      </w:r>
      <w:proofErr w:type="spellStart"/>
      <w:r w:rsidRPr="003B72CD">
        <w:rPr>
          <w:rFonts w:ascii="Titillium Lt" w:hAnsi="Titillium Lt" w:cs="ArialMT"/>
          <w:sz w:val="18"/>
          <w:szCs w:val="18"/>
        </w:rPr>
        <w:t>TSZ-től</w:t>
      </w:r>
      <w:proofErr w:type="spellEnd"/>
      <w:r w:rsidRPr="003B72CD">
        <w:rPr>
          <w:rFonts w:ascii="Titillium Lt" w:hAnsi="Titillium Lt" w:cs="ArialMT"/>
          <w:sz w:val="18"/>
          <w:szCs w:val="18"/>
        </w:rPr>
        <w:t xml:space="preserve"> északra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05/8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90385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Dózsa </w:t>
      </w:r>
      <w:proofErr w:type="spellStart"/>
      <w:r w:rsidRPr="003B72CD">
        <w:rPr>
          <w:rFonts w:ascii="Titillium Lt" w:hAnsi="Titillium Lt" w:cs="ArialMT"/>
          <w:sz w:val="18"/>
          <w:szCs w:val="18"/>
        </w:rPr>
        <w:t>TSZ-től</w:t>
      </w:r>
      <w:proofErr w:type="spellEnd"/>
      <w:r w:rsidRPr="003B72CD">
        <w:rPr>
          <w:rFonts w:ascii="Titillium Lt" w:hAnsi="Titillium Lt" w:cs="ArialMT"/>
          <w:sz w:val="18"/>
          <w:szCs w:val="18"/>
        </w:rPr>
        <w:t xml:space="preserve"> északra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053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>06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 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>060/14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 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16884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 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060/15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060/16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060/17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060/18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060/3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060/4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077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világörökség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[30481]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Tokaj-hegyaljai történelmi borvidék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r w:rsidRPr="003B72CD">
        <w:rPr>
          <w:rFonts w:ascii="Titillium Lt" w:hAnsi="Titillium Lt" w:cs="ArialMT"/>
          <w:sz w:val="18"/>
          <w:szCs w:val="18"/>
        </w:rPr>
        <w:t>kultúrtáj védőövezet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világörökség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[30481]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Tokaj-hegyaljai történelmi borvidék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r w:rsidRPr="003B72CD">
        <w:rPr>
          <w:rFonts w:ascii="Titillium Lt" w:hAnsi="Titillium Lt" w:cs="ArialMT"/>
          <w:sz w:val="18"/>
          <w:szCs w:val="18"/>
        </w:rPr>
        <w:t>kultúrtáj védőövezet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09/1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09/2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1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műemlék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1385 [3304]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R.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k.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kápolna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1418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régészeti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75571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Templomdomb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125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134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135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136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>137</w:t>
      </w:r>
      <w:r>
        <w:rPr>
          <w:rFonts w:ascii="Titillium Lt" w:hAnsi="Titillium Lt" w:cs="ArialMT"/>
          <w:sz w:val="18"/>
          <w:szCs w:val="18"/>
        </w:rPr>
        <w:t xml:space="preserve">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138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139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140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141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16884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142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143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144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158/5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régész</w:t>
      </w:r>
      <w:r>
        <w:rPr>
          <w:rFonts w:ascii="Titillium Lt" w:hAnsi="Titillium Lt" w:cs="ArialMT"/>
          <w:sz w:val="18"/>
          <w:szCs w:val="18"/>
        </w:rPr>
        <w:t>eti lelőhely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158/6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176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műemléki környezet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1385 [23173]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R.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k.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kápolna ex-lege műemléki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környezete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 w:firstLine="1418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régészeti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75571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Templomdomb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2/1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műemléki környezet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1385 [23173]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R.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k.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kápolna ex-lege műemléki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környezete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 w:firstLine="1418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régészeti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75571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Templomdomb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2/</w:t>
      </w:r>
      <w:proofErr w:type="spellStart"/>
      <w:r>
        <w:rPr>
          <w:rFonts w:ascii="Titillium Lt" w:hAnsi="Titillium Lt" w:cs="ArialMT"/>
          <w:sz w:val="18"/>
          <w:szCs w:val="18"/>
        </w:rPr>
        <w:t>2</w:t>
      </w:r>
      <w:proofErr w:type="spellEnd"/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műemléki környezet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1385 [23173]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R.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k.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kápolna ex-lege műemléki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lastRenderedPageBreak/>
        <w:t>környezete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 w:firstLine="1418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régészeti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75571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Templomdomb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215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műemléki környezet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1385 [23173]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R.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k.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kápolna ex-lege műemléki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1418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környezete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216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műemléki környezet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1385 [23173]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R.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k.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kápolna ex-lege műemléki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környezete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>240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 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241/1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241/2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16881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 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243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244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245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246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247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248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249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250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Csenke oldal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75571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Templomdomb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348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műemléki környezet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1385 [23173]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R.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k.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kápolna ex-lege műemléki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környezete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349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műemléki környezet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1385 [23173]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R.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k.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kápolna ex-lege műemléki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környezete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350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műemléki környezet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1385 [23173]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R.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k.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kápolna ex-lege műemléki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környezete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353/1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 2.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354/1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 2.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355/1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 2.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>357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műemléki környezet </w:t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1385 [23173]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R.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k.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kápolna ex-lege műemléki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környezete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 w:firstLine="1418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régészeti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75571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Templomdomb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75571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Templomdomb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49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50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51/1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  <w:t>régészeti lelőhely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Kenézlőre vezető út jobb oldalán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a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gát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mellett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3544"/>
        <w:jc w:val="left"/>
        <w:rPr>
          <w:rFonts w:ascii="Titillium Lt" w:hAnsi="Titillium Lt" w:cs="ArialMT"/>
          <w:sz w:val="18"/>
          <w:szCs w:val="18"/>
        </w:rPr>
      </w:pP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51/2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52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  <w:t>régészeti lelőhely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Kenézlőre vezető út jobb oldalán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a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gát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mellett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3544"/>
        <w:jc w:val="left"/>
        <w:rPr>
          <w:rFonts w:ascii="Titillium Lt" w:hAnsi="Titillium Lt" w:cs="ArialMT"/>
          <w:sz w:val="18"/>
          <w:szCs w:val="18"/>
        </w:rPr>
      </w:pP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53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  <w:t>régészeti lelőhely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Kenézlőre vezető út jobb oldalán </w:t>
      </w:r>
      <w:proofErr w:type="gramStart"/>
      <w:r w:rsidRPr="003B72CD">
        <w:rPr>
          <w:rFonts w:ascii="Titillium Lt" w:hAnsi="Titillium Lt" w:cs="ArialMT"/>
          <w:sz w:val="18"/>
          <w:szCs w:val="18"/>
        </w:rPr>
        <w:t>a</w:t>
      </w:r>
      <w:proofErr w:type="gramEnd"/>
    </w:p>
    <w:p w:rsidR="002E7627" w:rsidRPr="003B72CD" w:rsidRDefault="002E7627" w:rsidP="002E7627">
      <w:pPr>
        <w:autoSpaceDE w:val="0"/>
        <w:autoSpaceDN w:val="0"/>
        <w:adjustRightInd w:val="0"/>
        <w:ind w:right="0" w:firstLine="5670"/>
        <w:jc w:val="left"/>
        <w:rPr>
          <w:rFonts w:ascii="Titillium Lt" w:hAnsi="Titillium Lt" w:cs="ArialMT"/>
          <w:sz w:val="18"/>
          <w:szCs w:val="18"/>
        </w:rPr>
      </w:pPr>
      <w:proofErr w:type="gramStart"/>
      <w:r w:rsidRPr="003B72CD">
        <w:rPr>
          <w:rFonts w:ascii="Titillium Lt" w:hAnsi="Titillium Lt" w:cs="ArialMT"/>
          <w:sz w:val="18"/>
          <w:szCs w:val="18"/>
        </w:rPr>
        <w:t>gát</w:t>
      </w:r>
      <w:proofErr w:type="gramEnd"/>
      <w:r w:rsidRPr="003B72CD">
        <w:rPr>
          <w:rFonts w:ascii="Titillium Lt" w:hAnsi="Titillium Lt" w:cs="ArialMT"/>
          <w:sz w:val="18"/>
          <w:szCs w:val="18"/>
        </w:rPr>
        <w:t xml:space="preserve"> mellett</w:t>
      </w:r>
    </w:p>
    <w:p w:rsidR="002E7627" w:rsidRPr="003B72CD" w:rsidRDefault="002E7627" w:rsidP="002E7627">
      <w:pPr>
        <w:autoSpaceDE w:val="0"/>
        <w:autoSpaceDN w:val="0"/>
        <w:adjustRightInd w:val="0"/>
        <w:ind w:right="0" w:firstLine="3544"/>
        <w:jc w:val="left"/>
        <w:rPr>
          <w:rFonts w:ascii="Titillium Lt" w:hAnsi="Titillium Lt" w:cs="ArialMT"/>
          <w:sz w:val="18"/>
          <w:szCs w:val="18"/>
        </w:rPr>
      </w:pP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54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55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56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58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59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6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75571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Templomdomb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60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autoSpaceDE w:val="0"/>
        <w:autoSpaceDN w:val="0"/>
        <w:adjustRightInd w:val="0"/>
        <w:ind w:right="0"/>
        <w:jc w:val="left"/>
        <w:rPr>
          <w:rFonts w:ascii="Titillium Lt" w:hAnsi="Titillium Lt" w:cs="ArialM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61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Pr="003B72CD" w:rsidRDefault="002E7627" w:rsidP="002E7627">
      <w:pPr>
        <w:jc w:val="left"/>
        <w:rPr>
          <w:rFonts w:ascii="Titillium Lt" w:hAnsi="Titillium Lt"/>
          <w:sz w:val="18"/>
          <w:szCs w:val="18"/>
        </w:rPr>
      </w:pPr>
      <w:r>
        <w:rPr>
          <w:rFonts w:ascii="Titillium Lt" w:hAnsi="Titillium Lt" w:cs="ArialMT"/>
          <w:sz w:val="18"/>
          <w:szCs w:val="18"/>
        </w:rPr>
        <w:t xml:space="preserve">   </w:t>
      </w:r>
      <w:r w:rsidRPr="003B72CD">
        <w:rPr>
          <w:rFonts w:ascii="Titillium Lt" w:hAnsi="Titillium Lt" w:cs="ArialMT"/>
          <w:sz w:val="18"/>
          <w:szCs w:val="18"/>
        </w:rPr>
        <w:t xml:space="preserve">62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régészeti lelőhely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 xml:space="preserve">16884 </w:t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>
        <w:rPr>
          <w:rFonts w:ascii="Titillium Lt" w:hAnsi="Titillium Lt" w:cs="ArialMT"/>
          <w:sz w:val="18"/>
          <w:szCs w:val="18"/>
        </w:rPr>
        <w:tab/>
      </w:r>
      <w:r w:rsidRPr="003B72CD">
        <w:rPr>
          <w:rFonts w:ascii="Titillium Lt" w:hAnsi="Titillium Lt" w:cs="ArialMT"/>
          <w:sz w:val="18"/>
          <w:szCs w:val="18"/>
        </w:rPr>
        <w:t>Palocsa</w:t>
      </w:r>
    </w:p>
    <w:p w:rsidR="002E7627" w:rsidRDefault="002E7627" w:rsidP="002E7627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D1561C" w:rsidRDefault="00D1561C" w:rsidP="002E7627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E7627" w:rsidRDefault="00CC43C8" w:rsidP="002E7627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2E762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94329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E7627">
        <w:rPr>
          <w:rFonts w:ascii="Times New Roman" w:hAnsi="Times New Roman" w:cs="Times New Roman"/>
          <w:color w:val="000000" w:themeColor="text1"/>
          <w:sz w:val="24"/>
          <w:szCs w:val="24"/>
        </w:rPr>
        <w:t>sz.</w:t>
      </w:r>
      <w:r w:rsidR="0094329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függelék</w:t>
      </w:r>
    </w:p>
    <w:tbl>
      <w:tblPr>
        <w:tblStyle w:val="Rcsostblzat"/>
        <w:tblW w:w="8748" w:type="dxa"/>
        <w:tblLayout w:type="fixed"/>
        <w:tblLook w:val="04A0" w:firstRow="1" w:lastRow="0" w:firstColumn="1" w:lastColumn="0" w:noHBand="0" w:noVBand="1"/>
      </w:tblPr>
      <w:tblGrid>
        <w:gridCol w:w="1384"/>
        <w:gridCol w:w="2126"/>
        <w:gridCol w:w="3402"/>
        <w:gridCol w:w="1836"/>
      </w:tblGrid>
      <w:tr w:rsidR="00D1561C" w:rsidRPr="00615177" w:rsidTr="00A40F74">
        <w:trPr>
          <w:trHeight w:val="584"/>
        </w:trPr>
        <w:tc>
          <w:tcPr>
            <w:tcW w:w="8748" w:type="dxa"/>
            <w:gridSpan w:val="4"/>
          </w:tcPr>
          <w:p w:rsidR="00D1561C" w:rsidRPr="00615177" w:rsidRDefault="00D1561C" w:rsidP="00A40F74">
            <w:pPr>
              <w:jc w:val="center"/>
              <w:rPr>
                <w:rFonts w:ascii="Titillium Bd" w:hAnsi="Titillium Bd"/>
                <w:sz w:val="18"/>
                <w:szCs w:val="18"/>
              </w:rPr>
            </w:pPr>
            <w:r w:rsidRPr="00615177">
              <w:rPr>
                <w:rFonts w:ascii="Titillium Bd" w:hAnsi="Titillium Bd"/>
                <w:sz w:val="18"/>
                <w:szCs w:val="18"/>
              </w:rPr>
              <w:t>ZALKOD EGYEDI TÁJÉRTÉK</w:t>
            </w:r>
          </w:p>
        </w:tc>
      </w:tr>
      <w:tr w:rsidR="00D1561C" w:rsidRPr="00615177" w:rsidTr="00A40F74">
        <w:trPr>
          <w:trHeight w:val="584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center"/>
              <w:rPr>
                <w:rFonts w:ascii="Titillium Bd" w:hAnsi="Titillium Bd"/>
                <w:sz w:val="18"/>
                <w:szCs w:val="18"/>
              </w:rPr>
            </w:pPr>
            <w:r w:rsidRPr="00615177">
              <w:rPr>
                <w:rFonts w:ascii="Titillium Bd" w:hAnsi="Titillium Bd"/>
                <w:sz w:val="18"/>
                <w:szCs w:val="18"/>
              </w:rPr>
              <w:t>Tipizálás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center"/>
              <w:rPr>
                <w:rFonts w:ascii="Titillium Bd" w:hAnsi="Titillium Bd"/>
                <w:sz w:val="18"/>
                <w:szCs w:val="18"/>
              </w:rPr>
            </w:pPr>
            <w:r w:rsidRPr="00615177">
              <w:rPr>
                <w:rFonts w:ascii="Titillium Bd" w:hAnsi="Titillium Bd"/>
                <w:sz w:val="18"/>
                <w:szCs w:val="18"/>
              </w:rPr>
              <w:t>Pontos helyszín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jc w:val="center"/>
              <w:rPr>
                <w:rFonts w:ascii="Titillium Bd" w:hAnsi="Titillium Bd"/>
                <w:sz w:val="18"/>
                <w:szCs w:val="18"/>
              </w:rPr>
            </w:pPr>
            <w:r w:rsidRPr="00615177">
              <w:rPr>
                <w:rFonts w:ascii="Titillium Bd" w:hAnsi="Titillium Bd"/>
                <w:sz w:val="18"/>
                <w:szCs w:val="18"/>
              </w:rPr>
              <w:t>Főbb jellemzők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center"/>
              <w:rPr>
                <w:rFonts w:ascii="Titillium Bd" w:hAnsi="Titillium Bd"/>
                <w:sz w:val="18"/>
                <w:szCs w:val="18"/>
              </w:rPr>
            </w:pPr>
            <w:r w:rsidRPr="00615177">
              <w:rPr>
                <w:rFonts w:ascii="Titillium Bd" w:hAnsi="Titillium Bd"/>
                <w:sz w:val="18"/>
                <w:szCs w:val="18"/>
              </w:rPr>
              <w:t>Keletkezés időpontja</w:t>
            </w:r>
          </w:p>
        </w:tc>
      </w:tr>
      <w:tr w:rsidR="00D1561C" w:rsidRPr="00615177" w:rsidTr="00A40F74">
        <w:trPr>
          <w:trHeight w:val="2528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tabs>
                <w:tab w:val="left" w:pos="1168"/>
              </w:tabs>
              <w:ind w:right="0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Lakóépület</w:t>
            </w:r>
          </w:p>
        </w:tc>
        <w:tc>
          <w:tcPr>
            <w:tcW w:w="2126" w:type="dxa"/>
            <w:hideMark/>
          </w:tcPr>
          <w:p w:rsidR="00D1561C" w:rsidRDefault="00D1561C" w:rsidP="00A40F74">
            <w:pPr>
              <w:ind w:right="33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Dózsa György út 18. </w:t>
            </w:r>
          </w:p>
          <w:p w:rsidR="00D1561C" w:rsidRPr="00615177" w:rsidRDefault="00D1561C" w:rsidP="00A40F74">
            <w:pPr>
              <w:ind w:right="33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42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Oldalhatáron álló cseréppel fedett kontyolt tetős, vályogtéglából épült, fehérre meszelt lakóház.  A házat fagerendás, deszkából készített, népi motívummal díszített</w:t>
            </w:r>
            <w:proofErr w:type="gramStart"/>
            <w:r w:rsidRPr="00615177">
              <w:rPr>
                <w:rFonts w:ascii="Titillium Lt" w:hAnsi="Titillium Lt"/>
                <w:sz w:val="18"/>
                <w:szCs w:val="18"/>
              </w:rPr>
              <w:t>,  tornác</w:t>
            </w:r>
            <w:proofErr w:type="gramEnd"/>
            <w:r w:rsidRPr="00615177">
              <w:rPr>
                <w:rFonts w:ascii="Titillium Lt" w:hAnsi="Titillium Lt"/>
                <w:sz w:val="18"/>
                <w:szCs w:val="18"/>
              </w:rPr>
              <w:t xml:space="preserve"> kíséri végig. A házzal egybeépített gazdasági épület található. Az udvaron egy 6 m mély kút található.  Csörlőállványa, tekerőkarja és csörlőtengelye fából készült. A kút felett fából készült tetőszerkezet található. 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Az 1900-as évek eleje</w:t>
            </w:r>
          </w:p>
        </w:tc>
      </w:tr>
      <w:tr w:rsidR="00D1561C" w:rsidRPr="00615177" w:rsidTr="00A40F74">
        <w:trPr>
          <w:trHeight w:val="1969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Lakóépület</w:t>
            </w:r>
          </w:p>
        </w:tc>
        <w:tc>
          <w:tcPr>
            <w:tcW w:w="2126" w:type="dxa"/>
            <w:hideMark/>
          </w:tcPr>
          <w:p w:rsidR="00D1561C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Petőfi út 42. </w:t>
            </w:r>
          </w:p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341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Oldalhatáron álló, felújított cseréppel fedett kontyolt tetős, vályogtéglából épült, sárgára és fehérre színezett lakóház, gazdasági épülettel. A tornácot zöld színű léckerítés kísér végig. Az utcafelőli homlokzaton egy ablak van. A széldeszka faragott régi stílusú, de felújított. A padlásfeljáró a tornác végén található.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Kb. 100 éves</w:t>
            </w:r>
          </w:p>
        </w:tc>
      </w:tr>
      <w:tr w:rsidR="00D1561C" w:rsidRPr="00615177" w:rsidTr="00A40F74">
        <w:trPr>
          <w:trHeight w:val="2975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Lakóépület</w:t>
            </w:r>
          </w:p>
        </w:tc>
        <w:tc>
          <w:tcPr>
            <w:tcW w:w="2126" w:type="dxa"/>
            <w:hideMark/>
          </w:tcPr>
          <w:p w:rsidR="00D1561C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Petőfi út 97. </w:t>
            </w:r>
          </w:p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292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Oldalhatáron álló, cseréppel fedett, sátortetős, vályogtéglából épült, sárgára színezett, az utca frontjával párhuzamos lakóház, melyhez a nyári konyha és a gazdasági épület merőlegesen van hozzáépítve. A homlokzat gazdagon díszített szőlővesszővel és fürttel, valamint geometrikus ábrákkal. Az ablakai 2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osztatú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>, 3 szemesek, régi stílusúak. A tornác falazott, bordóra festett, a tartópillérei téglából készültek. A tornác és a ház oldala szőlővel futtatott.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Az 1900-as évek eleje</w:t>
            </w:r>
          </w:p>
        </w:tc>
      </w:tr>
      <w:tr w:rsidR="00D1561C" w:rsidRPr="00615177" w:rsidTr="00A40F74">
        <w:trPr>
          <w:trHeight w:val="1969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Lakóépület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Kismező utca 8.</w:t>
            </w:r>
          </w:p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305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Oldalhatáron álló, cseréppel fedett, kontyos tetős lakóház, amely világos sárgára színezett. A ház a kocsiszínnel és a gazdasági épülettel egybeépített. A tornácot kőoszlopok tartják, falazatlan, a végéből nyílik a padlásfeljáró. A ház homlokzatának tetején egy szürkére festett sáv található.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Az 1900-as évek eleje</w:t>
            </w:r>
          </w:p>
        </w:tc>
      </w:tr>
      <w:tr w:rsidR="00D1561C" w:rsidRPr="00615177" w:rsidTr="00A40F74">
        <w:trPr>
          <w:trHeight w:val="2266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lastRenderedPageBreak/>
              <w:t>Lakóépület</w:t>
            </w:r>
          </w:p>
        </w:tc>
        <w:tc>
          <w:tcPr>
            <w:tcW w:w="2126" w:type="dxa"/>
            <w:hideMark/>
          </w:tcPr>
          <w:p w:rsidR="00D1561C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Kismező utca 4. </w:t>
            </w:r>
          </w:p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307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Oldalhatáron álló, cseréppel fedett, kontyos tetős, vályogtéglából épült, fehérre meszelt lakóház. A házat fagerendás falazatlan és szőlővel befuttatott tornác kíséri végig, melynek eleje is falazatlan. A homlokzaton két darab 2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osztatú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, 3 szemes ablak található.  Az ablakkeretek szürkére festettek, és gazdagon faragottak. 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Az 1900-as évek eleje</w:t>
            </w:r>
          </w:p>
        </w:tc>
      </w:tr>
      <w:tr w:rsidR="00D1561C" w:rsidRPr="00615177" w:rsidTr="00A40F74">
        <w:trPr>
          <w:trHeight w:val="2409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Lakóépület</w:t>
            </w:r>
          </w:p>
        </w:tc>
        <w:tc>
          <w:tcPr>
            <w:tcW w:w="2126" w:type="dxa"/>
            <w:hideMark/>
          </w:tcPr>
          <w:p w:rsidR="00D1561C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Szabadság utca </w:t>
            </w:r>
          </w:p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52. 252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Oldalhatáron álló, cseréppel fedett kontyolt tetős, kőalapra épített, vályogtéglából épült halvány sárgára színezett lakóház. A </w:t>
            </w:r>
            <w:proofErr w:type="gramStart"/>
            <w:r w:rsidRPr="00615177">
              <w:rPr>
                <w:rFonts w:ascii="Titillium Lt" w:hAnsi="Titillium Lt"/>
                <w:sz w:val="18"/>
                <w:szCs w:val="18"/>
              </w:rPr>
              <w:t>tornác  oszlopai</w:t>
            </w:r>
            <w:proofErr w:type="gramEnd"/>
            <w:r w:rsidRPr="00615177">
              <w:rPr>
                <w:rFonts w:ascii="Titillium Lt" w:hAnsi="Titillium Lt"/>
                <w:sz w:val="18"/>
                <w:szCs w:val="18"/>
              </w:rPr>
              <w:t xml:space="preserve"> téglából rakottak. Az utcafrontra egy ablak néz, mely 3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osztatú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, barnára festett keretű. A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stablondeszkája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 díszesen faragott. A gazdasági épülettel egybeépített. A kert és a benne található kerekes kút rendbe van téve, és fel van újítva.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Az 1900-as évek eleje</w:t>
            </w:r>
          </w:p>
        </w:tc>
      </w:tr>
      <w:tr w:rsidR="00D1561C" w:rsidRPr="00615177" w:rsidTr="00A40F74">
        <w:trPr>
          <w:trHeight w:val="2230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 Lakóépület</w:t>
            </w:r>
          </w:p>
        </w:tc>
        <w:tc>
          <w:tcPr>
            <w:tcW w:w="2126" w:type="dxa"/>
            <w:hideMark/>
          </w:tcPr>
          <w:p w:rsidR="00D1561C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Szabadság utca </w:t>
            </w:r>
          </w:p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34. 264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Oldalhatáron álló, kontyolt tetős, cseréppel fedett felújított tetejű,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vertfalú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, rózsaszínre színezett lakóház. A tornáca falazatlan, fagerendás, a gazdasági épülettel egybe van építve. Az utcafrontra egy ablak néz, mely 2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osztatú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>, 3 szemes, fehérre festett rámájú, és a felső részében a vízszintes síkból fölfelé, kiugró dísz található. A kert gondozatlan.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Az 1900-as évek eleje</w:t>
            </w:r>
          </w:p>
        </w:tc>
      </w:tr>
      <w:tr w:rsidR="00D1561C" w:rsidRPr="00615177" w:rsidTr="00A40F74">
        <w:trPr>
          <w:trHeight w:val="2248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Lakóépület</w:t>
            </w:r>
          </w:p>
        </w:tc>
        <w:tc>
          <w:tcPr>
            <w:tcW w:w="2126" w:type="dxa"/>
            <w:hideMark/>
          </w:tcPr>
          <w:p w:rsidR="00D1561C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Petőfi utca 77. </w:t>
            </w:r>
          </w:p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212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Kontyos tetős, bádoggal fedett, sárgára színezett, és hengerelt falú, barnára festett alapú lakóház. Gazdasági épülete külön állt a háztól, de mára az is lakóház lett. A bádogtetőn díszített szellőzőnyílások vannak. Az ablakok 2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osztatú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>, 6 szemesek. A tornác falazatlan, kis léckerítéssel körbezárva oldalt, elöl nyitott. A tornác végigkíséri a házat.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Az 1900-as évek eleje</w:t>
            </w:r>
          </w:p>
        </w:tc>
      </w:tr>
      <w:tr w:rsidR="00D1561C" w:rsidRPr="00615177" w:rsidTr="00A40F74">
        <w:trPr>
          <w:trHeight w:val="2408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Lakóépület</w:t>
            </w:r>
          </w:p>
        </w:tc>
        <w:tc>
          <w:tcPr>
            <w:tcW w:w="2126" w:type="dxa"/>
            <w:hideMark/>
          </w:tcPr>
          <w:p w:rsidR="00D1561C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Petőfi utca 71. </w:t>
            </w:r>
          </w:p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181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Oldalhatáron álló, cseréppel fedett kontyolt nyeregtetős,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vertfalas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, sárgára színezett lakóház, mely gazdasági épülettel rendelkezik. Az alapot szürkére festették. A </w:t>
            </w:r>
            <w:proofErr w:type="gramStart"/>
            <w:r w:rsidRPr="00615177">
              <w:rPr>
                <w:rFonts w:ascii="Titillium Lt" w:hAnsi="Titillium Lt"/>
                <w:sz w:val="18"/>
                <w:szCs w:val="18"/>
              </w:rPr>
              <w:t>tornác  fagerendás</w:t>
            </w:r>
            <w:proofErr w:type="gramEnd"/>
            <w:r w:rsidRPr="00615177">
              <w:rPr>
                <w:rFonts w:ascii="Titillium Lt" w:hAnsi="Titillium Lt"/>
                <w:sz w:val="18"/>
                <w:szCs w:val="18"/>
              </w:rPr>
              <w:t xml:space="preserve">.  Az utcafelőli homlokzaton két ablak van, melyek között és felett T- alakban bordóra festettek. Az ablakok 3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osztatúak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 2 táblás, faragott rámájúak. 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Az 1900-as évek eleje</w:t>
            </w:r>
          </w:p>
        </w:tc>
      </w:tr>
      <w:tr w:rsidR="00D1561C" w:rsidRPr="00615177" w:rsidTr="00A40F74">
        <w:trPr>
          <w:trHeight w:val="1947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Lakóépület</w:t>
            </w:r>
          </w:p>
        </w:tc>
        <w:tc>
          <w:tcPr>
            <w:tcW w:w="2126" w:type="dxa"/>
            <w:hideMark/>
          </w:tcPr>
          <w:p w:rsidR="00D1561C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Petőfi utca 65. </w:t>
            </w:r>
          </w:p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178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tabs>
                <w:tab w:val="left" w:pos="2529"/>
              </w:tabs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Cseréppel fedett, kontyos tetejű, fehérre meszelt,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vertfalas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>, a gazdasági épülettel egybeépített, fatornácos lakóház. A tornác nem magasított, festetlen léckerítéssel határolt, szőlővel felfuttatott. A kerítés a kis- és nagykapunál régi stílusú, léckerítés, a többi helyen nádból fonott. A kert kevésbé gondozott.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Kb. az 1800-as évek vége</w:t>
            </w:r>
          </w:p>
        </w:tc>
      </w:tr>
      <w:tr w:rsidR="00D1561C" w:rsidRPr="00615177" w:rsidTr="00A40F74">
        <w:trPr>
          <w:trHeight w:val="2267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lastRenderedPageBreak/>
              <w:t>Udvar</w:t>
            </w:r>
          </w:p>
        </w:tc>
        <w:tc>
          <w:tcPr>
            <w:tcW w:w="2126" w:type="dxa"/>
            <w:hideMark/>
          </w:tcPr>
          <w:p w:rsidR="00D1561C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Kolozsvári út 5. </w:t>
            </w:r>
          </w:p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218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Oldalhatáron álló cseréppel fedett, fehérre meszelt lakóház. Az utcafrontra 2 darab 3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osztatú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 3 szemes ablak nyílik. A tornác hossza nem egyezik meg a lakóház hosszával. A házal szemben nyári </w:t>
            </w:r>
            <w:proofErr w:type="gramStart"/>
            <w:r w:rsidRPr="00615177">
              <w:rPr>
                <w:rFonts w:ascii="Titillium Lt" w:hAnsi="Titillium Lt"/>
                <w:sz w:val="18"/>
                <w:szCs w:val="18"/>
              </w:rPr>
              <w:t>konyha ,</w:t>
            </w:r>
            <w:proofErr w:type="gramEnd"/>
            <w:r w:rsidRPr="00615177">
              <w:rPr>
                <w:rFonts w:ascii="Titillium Lt" w:hAnsi="Titillium Lt"/>
                <w:sz w:val="18"/>
                <w:szCs w:val="18"/>
              </w:rPr>
              <w:t xml:space="preserve"> az udvaron pedig 2 db fűzfa áll, egy század eleji tűzoltókocsi társaságában. A fák kb. 30-40 évesek, átmérőjük 50 cm-es, és kb.10 méter magasak. 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Az 1900-as évek eleje</w:t>
            </w:r>
          </w:p>
        </w:tc>
      </w:tr>
      <w:tr w:rsidR="00D1561C" w:rsidRPr="00615177" w:rsidTr="00A40F74">
        <w:trPr>
          <w:trHeight w:val="2267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Udvar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Szabadság utca 274 HRSZ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tabs>
                <w:tab w:val="left" w:pos="2529"/>
              </w:tabs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A ház a porta végében helyezkedik </w:t>
            </w:r>
            <w:proofErr w:type="gramStart"/>
            <w:r w:rsidRPr="00615177">
              <w:rPr>
                <w:rFonts w:ascii="Titillium Lt" w:hAnsi="Titillium Lt"/>
                <w:sz w:val="18"/>
                <w:szCs w:val="18"/>
              </w:rPr>
              <w:t>el .</w:t>
            </w:r>
            <w:proofErr w:type="gramEnd"/>
            <w:r w:rsidRPr="00615177">
              <w:rPr>
                <w:rFonts w:ascii="Titillium Lt" w:hAnsi="Titillium Lt"/>
                <w:sz w:val="18"/>
                <w:szCs w:val="18"/>
              </w:rPr>
              <w:t xml:space="preserve"> A lakóház fehérre meszelt, cseréptetős, fatornácos (ami zöld színűre festett) és szív alakú faragások találhatóak benne.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Vertfalú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 parasztház. A felújítás után a kocsiszínt náddal fedték be. A házzal szemben nyári konyha, ól és egy kukoricaszárító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taláható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>. A ház ma nyaralóként funkcionál.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Kb. 100 éves </w:t>
            </w:r>
          </w:p>
        </w:tc>
      </w:tr>
      <w:tr w:rsidR="00D1561C" w:rsidRPr="00615177" w:rsidTr="00A40F74">
        <w:trPr>
          <w:trHeight w:val="1548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Kút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Kassai utca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3 db, kb. 1,5 m-es átmérőjű betongyűrűs köztéri kút. Csörlőállványuk és csörlőtengelyük vasból készült. Nincsenek használatban, az egyik betongyűrűje összetört, és felsőrésze is hiányos. A víztükör kb. 5-6 méter mélyen van.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50-60 év</w:t>
            </w:r>
          </w:p>
        </w:tc>
      </w:tr>
      <w:tr w:rsidR="00D1561C" w:rsidRPr="00615177" w:rsidTr="00A40F74">
        <w:trPr>
          <w:trHeight w:val="975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Kút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Szabadság utca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tabs>
                <w:tab w:val="left" w:pos="2529"/>
              </w:tabs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 kb. 1,5 m-es átmérőjű betongyűrűs kút csörlő-állványa és csörlőtengelye fából készült</w:t>
            </w:r>
            <w:proofErr w:type="gramStart"/>
            <w:r w:rsidRPr="00615177">
              <w:rPr>
                <w:rFonts w:ascii="Titillium Lt" w:hAnsi="Titillium Lt"/>
                <w:sz w:val="18"/>
                <w:szCs w:val="18"/>
              </w:rPr>
              <w:t>,  vizét</w:t>
            </w:r>
            <w:proofErr w:type="gramEnd"/>
            <w:r w:rsidRPr="00615177">
              <w:rPr>
                <w:rFonts w:ascii="Titillium Lt" w:hAnsi="Titillium Lt"/>
                <w:sz w:val="18"/>
                <w:szCs w:val="18"/>
              </w:rPr>
              <w:t xml:space="preserve"> öntözésre használják. A víztükör kb. 5-6 méter mélyen van.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50-60 év</w:t>
            </w:r>
          </w:p>
        </w:tc>
      </w:tr>
      <w:tr w:rsidR="00D1561C" w:rsidRPr="00615177" w:rsidTr="00A40F74">
        <w:trPr>
          <w:trHeight w:val="2109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Park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Petőfi utca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A terület régen Mezősi László Szabolcs megyei alispáné volt, ma </w:t>
            </w:r>
            <w:proofErr w:type="gramStart"/>
            <w:r w:rsidRPr="00615177">
              <w:rPr>
                <w:rFonts w:ascii="Titillium Lt" w:hAnsi="Titillium Lt"/>
                <w:sz w:val="18"/>
                <w:szCs w:val="18"/>
              </w:rPr>
              <w:t>park ,</w:t>
            </w:r>
            <w:proofErr w:type="gramEnd"/>
            <w:r w:rsidRPr="00615177">
              <w:rPr>
                <w:rFonts w:ascii="Titillium Lt" w:hAnsi="Titillium Lt"/>
                <w:sz w:val="18"/>
                <w:szCs w:val="18"/>
              </w:rPr>
              <w:t xml:space="preserve"> melynek közepén az akkori birtok pincéjének a lejárata található. A </w:t>
            </w:r>
            <w:proofErr w:type="gramStart"/>
            <w:r w:rsidRPr="00615177">
              <w:rPr>
                <w:rFonts w:ascii="Titillium Lt" w:hAnsi="Titillium Lt"/>
                <w:sz w:val="18"/>
                <w:szCs w:val="18"/>
              </w:rPr>
              <w:t>pince  egy</w:t>
            </w:r>
            <w:proofErr w:type="gramEnd"/>
            <w:r w:rsidRPr="00615177">
              <w:rPr>
                <w:rFonts w:ascii="Titillium Lt" w:hAnsi="Titillium Lt"/>
                <w:sz w:val="18"/>
                <w:szCs w:val="18"/>
              </w:rPr>
              <w:t xml:space="preserve"> kétszintes, két irányban elágazó, kővel kirakott pince. A lejáró közelében 3-4 db gesztenyefa található, melyek kb. 15-20 m magasak, törzsátmérőjük 80 cm-től 1 m-ig terjed.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 fák kb. 100 évesek, a parkról koradat nem ismeretes</w:t>
            </w:r>
          </w:p>
        </w:tc>
      </w:tr>
      <w:tr w:rsidR="00D1561C" w:rsidRPr="00615177" w:rsidTr="00A40F74">
        <w:trPr>
          <w:trHeight w:val="1558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Köztéri szobor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Dózsa György út 2.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tabs>
                <w:tab w:val="left" w:pos="2529"/>
              </w:tabs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0,5 m magas beton-talapzaton álló, 1 m magas horzsaköves riolittufából készült Comeniust ábrázoló szobor. Csak a fej van kidolgozva. Új építésű ház előkertjében található. Felirata: „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Itocan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 96’ ”, a szobor körül virágoskert található.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1996</w:t>
            </w:r>
          </w:p>
        </w:tc>
      </w:tr>
      <w:tr w:rsidR="00D1561C" w:rsidRPr="00615177" w:rsidTr="00A40F74">
        <w:trPr>
          <w:trHeight w:val="971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Köztéri szobor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Dózsa György utca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0,5 m magas betontalapzaton álló, horzsaköves riolittufából készült, 1 m magas stilizált női alakot ábrázoló szobor. „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Vitrael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 96’ </w:t>
            </w:r>
            <w:proofErr w:type="gramStart"/>
            <w:r w:rsidRPr="00615177">
              <w:rPr>
                <w:rFonts w:ascii="Titillium Lt" w:hAnsi="Titillium Lt"/>
                <w:sz w:val="18"/>
                <w:szCs w:val="18"/>
              </w:rPr>
              <w:t>„ felirat</w:t>
            </w:r>
            <w:proofErr w:type="gramEnd"/>
            <w:r w:rsidRPr="00615177">
              <w:rPr>
                <w:rFonts w:ascii="Titillium Lt" w:hAnsi="Titillium Lt"/>
                <w:sz w:val="18"/>
                <w:szCs w:val="18"/>
              </w:rPr>
              <w:t xml:space="preserve"> található rajta.  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1996</w:t>
            </w:r>
          </w:p>
        </w:tc>
      </w:tr>
      <w:tr w:rsidR="00D1561C" w:rsidRPr="00615177" w:rsidTr="00A40F74">
        <w:trPr>
          <w:trHeight w:val="1268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Harangláb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Régi iskolaépület udvarában, a Kassai utcában 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1,5 m magas, faragott riolittufa alapzaton álló, fagerendákból ácsolt harangláb. 2 kisebb-nagyobb harangja van, amit bádogtető borít. A faszerkezet vas elemekkel van megerősítve.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nincs adat</w:t>
            </w:r>
          </w:p>
        </w:tc>
      </w:tr>
      <w:tr w:rsidR="00D1561C" w:rsidRPr="00615177" w:rsidTr="00A40F74">
        <w:trPr>
          <w:trHeight w:val="2264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lastRenderedPageBreak/>
              <w:t>Feszület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Görög katolikus imaház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A kereszten az alábbi felirat található: „Isten dicsőségére Dányi Mihály kegyeletes emlékére emeltette özv. Dányi Mihályné szül: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Prokop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 Mária 1929.</w:t>
            </w:r>
            <w:proofErr w:type="gramStart"/>
            <w:r w:rsidRPr="00615177">
              <w:rPr>
                <w:rFonts w:ascii="Titillium Lt" w:hAnsi="Titillium Lt"/>
                <w:sz w:val="18"/>
                <w:szCs w:val="18"/>
              </w:rPr>
              <w:t>„ A</w:t>
            </w:r>
            <w:proofErr w:type="gramEnd"/>
            <w:r w:rsidRPr="00615177">
              <w:rPr>
                <w:rFonts w:ascii="Titillium Lt" w:hAnsi="Titillium Lt"/>
                <w:sz w:val="18"/>
                <w:szCs w:val="18"/>
              </w:rPr>
              <w:t xml:space="preserve"> kereszt körülbelül 4 méter magas riolittufából készített, (a  talapzat kb.1.5 méter). A felirat zöld színre festett, faragott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dombordíszítésben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 helyezkedik el. A corpus bádogból készült és színezett.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1929</w:t>
            </w:r>
          </w:p>
        </w:tc>
      </w:tr>
      <w:tr w:rsidR="00D1561C" w:rsidRPr="00615177" w:rsidTr="00A40F74">
        <w:trPr>
          <w:trHeight w:val="1275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Feszület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Zalkodi temető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Kb. 4 m magas, riolittufából készült feszület. A corpus fémből készült, üreges, ezüstszínűre festett. Felirata a következő: „EMBER EMLÉKEZZÉL MEG HOGY POR VAGY ÉS POR LESZEL 1918.” 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1918</w:t>
            </w:r>
          </w:p>
        </w:tc>
      </w:tr>
      <w:tr w:rsidR="00D1561C" w:rsidRPr="00615177" w:rsidTr="00A40F74">
        <w:trPr>
          <w:trHeight w:val="1407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Harangláb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Római Katolikus templom kertje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2 m magas rakott kőből készült talpazaton álló fa harangláb, melyet kis tető takar. A tető palával fedett, és csúcsán díszített kereszt található. építették alá, </w:t>
            </w:r>
            <w:proofErr w:type="gramStart"/>
            <w:r w:rsidRPr="00615177">
              <w:rPr>
                <w:rFonts w:ascii="Titillium Lt" w:hAnsi="Titillium Lt"/>
                <w:sz w:val="18"/>
                <w:szCs w:val="18"/>
              </w:rPr>
              <w:t>állapotmegőrzés  3</w:t>
            </w:r>
            <w:proofErr w:type="gramEnd"/>
            <w:r w:rsidRPr="00615177">
              <w:rPr>
                <w:rFonts w:ascii="Titillium Lt" w:hAnsi="Titillium Lt"/>
                <w:sz w:val="18"/>
                <w:szCs w:val="18"/>
              </w:rPr>
              <w:t xml:space="preserve"> harang található az építményben. Muskátlival díszített.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Kb. 100 éves</w:t>
            </w:r>
          </w:p>
        </w:tc>
      </w:tr>
      <w:tr w:rsidR="00D1561C" w:rsidRPr="00615177" w:rsidTr="00A40F74">
        <w:trPr>
          <w:trHeight w:val="1484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Feszület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 Katolikus Templom mellett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 kereszt felirata: „ISTEN DICSŐSÉGÉRE KÖZADAKOZÁSBÓL ÁLLITTATTA HORTOBÁGYI ANTAL PLÉBÁNOS 1904.” Kőből készült talapzaton áll, riolittufából készült kb. 5 m magas feszület. A corpus szintén kőből készült.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1904</w:t>
            </w:r>
          </w:p>
        </w:tc>
      </w:tr>
      <w:tr w:rsidR="00D1561C" w:rsidRPr="00615177" w:rsidTr="00A40F74">
        <w:trPr>
          <w:trHeight w:val="981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 Pince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Petőfi utca 46.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3 m mély, 5 m széles és 10 méter hosszú. Jobb kéznek L-alakban elágazó, falépcsős lejáratú, faragott kőből kirakott, boltíves pince. 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1892. VI. 7.</w:t>
            </w:r>
          </w:p>
        </w:tc>
      </w:tr>
      <w:tr w:rsidR="00D1561C" w:rsidRPr="00615177" w:rsidTr="00A40F74">
        <w:trPr>
          <w:trHeight w:val="697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Istálló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Petőfi utca végén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tabs>
                <w:tab w:val="left" w:pos="2529"/>
              </w:tabs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Kőalapra épített, sarokkövei riolittufából készültek, cseréptetős, a tetőn a szellőzőnyílás deszkából készült.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Az 1800-as évek vége</w:t>
            </w:r>
          </w:p>
        </w:tc>
      </w:tr>
      <w:tr w:rsidR="00D1561C" w:rsidRPr="00615177" w:rsidTr="00A40F74">
        <w:trPr>
          <w:trHeight w:val="1247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Szakadópart</w:t>
            </w:r>
            <w:proofErr w:type="spellEnd"/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Zalkod határában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Homokos, löszös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magaspart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 gyurgyalag és partifecske fészekkel. A part feletti területen sok fűzfa és különböző fajtájú bokrok találhatók. Állatvilágára főleg a védett fajok jellemzőek.  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Minden áradásnál megújul.</w:t>
            </w:r>
          </w:p>
        </w:tc>
      </w:tr>
      <w:tr w:rsidR="00D1561C" w:rsidRPr="00615177" w:rsidTr="00A40F74">
        <w:trPr>
          <w:trHeight w:val="1534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Folyóvízhez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kapcs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>. képződmény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Zalkod határában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Kiemelkedően jó állapotú, növény- és állatvilága rendkívül gazdag. Az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eutrofizáció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 előrehaladott állapotban van, és a vízminőség sem mindenütt megfelelő. A szabad víztükör felülete a csatorna méretéhez viszonyítva kicsi.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XIX.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Szd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>. (folyószabályozáskor)</w:t>
            </w:r>
          </w:p>
        </w:tc>
      </w:tr>
      <w:tr w:rsidR="00D1561C" w:rsidRPr="00615177" w:rsidTr="00A40F74">
        <w:trPr>
          <w:trHeight w:val="1272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Feszület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ind w:right="-108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Zalkod határában (Zalkod és Kenézlő között lévő úton a Dózsa Tsz felé vezető műút becsatlakozásánál)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ind w:right="-57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 xml:space="preserve">A feszület fölirata: „Isten dicsőségére állítatta Csorba András és neje </w:t>
            </w:r>
            <w:proofErr w:type="spellStart"/>
            <w:r w:rsidRPr="00615177">
              <w:rPr>
                <w:rFonts w:ascii="Titillium Lt" w:hAnsi="Titillium Lt"/>
                <w:sz w:val="18"/>
                <w:szCs w:val="18"/>
              </w:rPr>
              <w:t>Kruz</w:t>
            </w:r>
            <w:proofErr w:type="spellEnd"/>
            <w:r w:rsidRPr="00615177">
              <w:rPr>
                <w:rFonts w:ascii="Titillium Lt" w:hAnsi="Titillium Lt"/>
                <w:sz w:val="18"/>
                <w:szCs w:val="18"/>
              </w:rPr>
              <w:t xml:space="preserve"> Mária 1911 évben”. Kb. 5 méter magas, anyaga riolittufa, kerítéssel körbezárt, virágokkal díszített kereszt. A corpus hiányzik.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1911</w:t>
            </w:r>
          </w:p>
        </w:tc>
      </w:tr>
      <w:tr w:rsidR="00D1561C" w:rsidRPr="00615177" w:rsidTr="00A40F74">
        <w:trPr>
          <w:trHeight w:val="1135"/>
        </w:trPr>
        <w:tc>
          <w:tcPr>
            <w:tcW w:w="1384" w:type="dxa"/>
            <w:hideMark/>
          </w:tcPr>
          <w:p w:rsidR="00D1561C" w:rsidRPr="00615177" w:rsidRDefault="00D1561C" w:rsidP="00A40F74">
            <w:pPr>
              <w:ind w:right="-108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Földmérési alapponthoz kapcsolódó létesítmény</w:t>
            </w:r>
          </w:p>
        </w:tc>
        <w:tc>
          <w:tcPr>
            <w:tcW w:w="2126" w:type="dxa"/>
            <w:hideMark/>
          </w:tcPr>
          <w:p w:rsidR="00D1561C" w:rsidRPr="00615177" w:rsidRDefault="00D1561C" w:rsidP="00A40F74">
            <w:pPr>
              <w:ind w:right="-108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Zalkod határában (Zalkod és Kenézlő között lévő úton a Dózsa Tsz felé vezető út becsatlakozásánál)</w:t>
            </w:r>
          </w:p>
        </w:tc>
        <w:tc>
          <w:tcPr>
            <w:tcW w:w="3402" w:type="dxa"/>
            <w:hideMark/>
          </w:tcPr>
          <w:p w:rsidR="00D1561C" w:rsidRPr="00615177" w:rsidRDefault="00D1561C" w:rsidP="00A40F74">
            <w:pPr>
              <w:tabs>
                <w:tab w:val="left" w:pos="2529"/>
              </w:tabs>
              <w:ind w:right="0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Kb. 30 x 20 cm felületű betontömbbe ágyazott, öntöttvas félgömb.</w:t>
            </w:r>
          </w:p>
        </w:tc>
        <w:tc>
          <w:tcPr>
            <w:tcW w:w="1836" w:type="dxa"/>
            <w:hideMark/>
          </w:tcPr>
          <w:p w:rsidR="00D1561C" w:rsidRPr="00615177" w:rsidRDefault="00D1561C" w:rsidP="00A40F74">
            <w:pPr>
              <w:tabs>
                <w:tab w:val="left" w:pos="1620"/>
              </w:tabs>
              <w:ind w:right="-115"/>
              <w:jc w:val="left"/>
              <w:rPr>
                <w:rFonts w:ascii="Titillium Lt" w:hAnsi="Titillium Lt"/>
                <w:sz w:val="18"/>
                <w:szCs w:val="18"/>
              </w:rPr>
            </w:pPr>
            <w:r w:rsidRPr="00615177">
              <w:rPr>
                <w:rFonts w:ascii="Titillium Lt" w:hAnsi="Titillium Lt"/>
                <w:sz w:val="18"/>
                <w:szCs w:val="18"/>
              </w:rPr>
              <w:t>Kb. 50 éves, de erre vonatkozó adat nem található rajta.</w:t>
            </w:r>
          </w:p>
        </w:tc>
      </w:tr>
    </w:tbl>
    <w:p w:rsidR="002E7627" w:rsidRDefault="002E7627" w:rsidP="002E7627">
      <w:pPr>
        <w:ind w:right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407CB4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407CB4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407CB4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407CB4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407CB4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407CB4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407CB4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407CB4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D4BB3" w:rsidRDefault="004D4BB3" w:rsidP="00407CB4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07CB4" w:rsidRPr="0094329F" w:rsidRDefault="00CC43C8" w:rsidP="00407CB4">
      <w:pPr>
        <w:ind w:right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4329F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407CB4" w:rsidRPr="0094329F">
        <w:rPr>
          <w:rFonts w:ascii="Times New Roman" w:hAnsi="Times New Roman" w:cs="Times New Roman"/>
          <w:color w:val="000000" w:themeColor="text1"/>
          <w:sz w:val="24"/>
          <w:szCs w:val="24"/>
        </w:rPr>
        <w:t>.sz.</w:t>
      </w:r>
      <w:r w:rsidRPr="0094329F">
        <w:rPr>
          <w:rFonts w:ascii="Times New Roman" w:hAnsi="Times New Roman" w:cs="Times New Roman"/>
          <w:color w:val="000000" w:themeColor="text1"/>
          <w:sz w:val="24"/>
          <w:szCs w:val="24"/>
        </w:rPr>
        <w:t>függelék</w:t>
      </w:r>
    </w:p>
    <w:p w:rsidR="00407CB4" w:rsidRPr="00407CB4" w:rsidRDefault="00407CB4" w:rsidP="00407CB4">
      <w:pPr>
        <w:widowControl w:val="0"/>
        <w:ind w:left="1134" w:right="0"/>
        <w:jc w:val="left"/>
        <w:rPr>
          <w:rFonts w:ascii="Times New Roman" w:eastAsia="Times New Roman" w:hAnsi="Times New Roman" w:cs="Times New Roman"/>
          <w:b/>
          <w:color w:val="000000"/>
          <w:spacing w:val="4"/>
          <w:sz w:val="20"/>
          <w:szCs w:val="20"/>
          <w:lang w:eastAsia="hu-HU"/>
        </w:rPr>
      </w:pPr>
      <w:r w:rsidRPr="00407CB4">
        <w:rPr>
          <w:rFonts w:ascii="Times New Roman" w:eastAsia="Times New Roman" w:hAnsi="Times New Roman" w:cs="Times New Roman"/>
          <w:b/>
          <w:color w:val="000000"/>
          <w:spacing w:val="4"/>
          <w:sz w:val="20"/>
          <w:szCs w:val="20"/>
          <w:lang w:eastAsia="hu-HU"/>
        </w:rPr>
        <w:t xml:space="preserve">1. Fásításra, növénytelepítésre javasolt őshonos nővények jegyzéke </w:t>
      </w:r>
    </w:p>
    <w:p w:rsidR="00407CB4" w:rsidRPr="00407CB4" w:rsidRDefault="00407CB4" w:rsidP="00407CB4">
      <w:pPr>
        <w:widowControl w:val="0"/>
        <w:ind w:left="1134" w:right="0"/>
        <w:jc w:val="left"/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hu-HU"/>
        </w:rPr>
      </w:pPr>
      <w:r w:rsidRPr="00407CB4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hu-HU"/>
        </w:rPr>
        <w:t>1.1 Lombos fafajok</w:t>
      </w:r>
    </w:p>
    <w:tbl>
      <w:tblPr>
        <w:tblW w:w="0" w:type="auto"/>
        <w:tblInd w:w="113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528"/>
        <w:gridCol w:w="3694"/>
      </w:tblGrid>
      <w:tr w:rsidR="00407CB4" w:rsidRPr="00407CB4" w:rsidTr="00A40F74">
        <w:trPr>
          <w:trHeight w:hRule="exact" w:val="293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Bd" w:eastAsia="Times New Roman" w:hAnsi="Titillium Bd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</w:pPr>
            <w:r w:rsidRPr="00407CB4">
              <w:rPr>
                <w:rFonts w:ascii="Titillium Bd" w:eastAsia="Times New Roman" w:hAnsi="Titillium Bd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  <w:t>tudományos (latin) elnevezés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Bd" w:eastAsia="Times New Roman" w:hAnsi="Titillium Bd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</w:pPr>
            <w:r w:rsidRPr="00407CB4">
              <w:rPr>
                <w:rFonts w:ascii="Titillium Bd" w:eastAsia="Times New Roman" w:hAnsi="Titillium Bd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  <w:t>magyar elnevezés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Acer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campestre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mezei juhar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Acer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platanoides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korai juhar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Acer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pseudoplatanus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hegyi juhar, jávorfa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Acer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tataricum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tatár juhar, feketegyűrű juhar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Alnus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glutinosa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 xml:space="preserve"> (allergén)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enyves éger, mézgás éger, berekfa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Alnus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incana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hamvas éger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Betula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pendula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 xml:space="preserve"> (allergén)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közönséges nyír, bibircses nyír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Betula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pubescens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szőrös nyír, pelyhes nyír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Carpinus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betulus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közönséges gyertyán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Cerasus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avium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(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Prunus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avium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)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vadcseresznye, madárcseresznye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Cerasus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mahaleb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(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Prunus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mahaleb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)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 xml:space="preserve">sarjmeggy, </w:t>
            </w:r>
            <w:proofErr w:type="gramStart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török meggy</w:t>
            </w:r>
            <w:proofErr w:type="gramEnd"/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4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4"/>
                <w:sz w:val="18"/>
                <w:szCs w:val="18"/>
                <w:lang w:eastAsia="hu-HU"/>
              </w:rPr>
              <w:t>Fagus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4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4"/>
                <w:sz w:val="18"/>
                <w:szCs w:val="18"/>
                <w:lang w:eastAsia="hu-HU"/>
              </w:rPr>
              <w:t>sylvatica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közönséges bükk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Fraxinus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angustifolia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ssp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.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pannonica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magyar kőris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Fraxinus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excelsior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magas kőris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Fraxinus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ornus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virágos kőris, mannakőris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Juglans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regia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közönséges dió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4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4"/>
                <w:sz w:val="18"/>
                <w:szCs w:val="18"/>
                <w:lang w:eastAsia="hu-HU"/>
              </w:rPr>
              <w:t>Malus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4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4"/>
                <w:sz w:val="18"/>
                <w:szCs w:val="18"/>
                <w:lang w:eastAsia="hu-HU"/>
              </w:rPr>
              <w:t>sylvestris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vadalma</w:t>
            </w:r>
          </w:p>
        </w:tc>
      </w:tr>
      <w:tr w:rsidR="00407CB4" w:rsidRPr="00407CB4" w:rsidTr="00A40F74">
        <w:trPr>
          <w:trHeight w:hRule="exact" w:val="278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Padus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avium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  <w:t>zelnicemeggy, májusfa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Populus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 xml:space="preserve"> alba *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fehér nyár, ezüst nyár</w:t>
            </w:r>
          </w:p>
        </w:tc>
      </w:tr>
      <w:tr w:rsidR="00407CB4" w:rsidRPr="00407CB4" w:rsidTr="00A40F74">
        <w:trPr>
          <w:trHeight w:hRule="exact" w:val="26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Populus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canescens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 xml:space="preserve"> *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szürke nyár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Populus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nigra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 xml:space="preserve"> *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 xml:space="preserve">fekete nyár, topolyafa,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csomoros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 xml:space="preserve"> nyár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Populus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tremula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rezgő nyár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Pyrus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pyraster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vadkörte, vackor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Quercus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cerris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csertölgy, cserfa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Quercus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petraea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 xml:space="preserve"> (Q.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sessiliflora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)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kocsánytalan tölgy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Quercus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pubescens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molyhos tölgy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Quercus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robur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 xml:space="preserve"> (Q.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pedunculata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)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kocsányos tölgy, mocsártölgy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4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4"/>
                <w:sz w:val="18"/>
                <w:szCs w:val="18"/>
                <w:lang w:eastAsia="hu-HU"/>
              </w:rPr>
              <w:t>Salix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4"/>
                <w:sz w:val="18"/>
                <w:szCs w:val="18"/>
                <w:lang w:eastAsia="hu-HU"/>
              </w:rPr>
              <w:t xml:space="preserve"> alba (allergén)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 xml:space="preserve">fehér fűz, </w:t>
            </w:r>
            <w:proofErr w:type="gram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ezüst fűz</w:t>
            </w:r>
            <w:proofErr w:type="gramEnd"/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5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5"/>
                <w:sz w:val="18"/>
                <w:szCs w:val="18"/>
                <w:lang w:eastAsia="hu-HU"/>
              </w:rPr>
              <w:t>Salix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5"/>
                <w:sz w:val="18"/>
                <w:szCs w:val="18"/>
                <w:lang w:eastAsia="hu-HU"/>
              </w:rPr>
              <w:t xml:space="preserve"> fragilis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törékeny fűz,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csörege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fűz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Sorbus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aria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lisztes berkenye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Sorbus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aucuparia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madárberkenye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Sorbus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2"/>
                <w:sz w:val="18"/>
                <w:szCs w:val="18"/>
                <w:lang w:eastAsia="hu-HU"/>
              </w:rPr>
              <w:t>domestica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 xml:space="preserve">házi berkenye,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fojtóska</w:t>
            </w:r>
            <w:proofErr w:type="spellEnd"/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Sorbus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torminalis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barkóca berkenye, barkócafa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Tilia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cordata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 xml:space="preserve"> (T.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parviflora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1"/>
                <w:sz w:val="18"/>
                <w:szCs w:val="18"/>
                <w:lang w:eastAsia="hu-HU"/>
              </w:rPr>
              <w:t>)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  <w:t>kislevelű hárs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  <w:t>Tilia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  <w:t>platyphyllos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  <w:t xml:space="preserve"> (T.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  <w:t>grandifolia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  <w:t>)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  <w:t>nagylevelű hárs</w:t>
            </w:r>
          </w:p>
        </w:tc>
      </w:tr>
      <w:tr w:rsidR="00407CB4" w:rsidRPr="00407CB4" w:rsidTr="00A40F74">
        <w:trPr>
          <w:trHeight w:hRule="exact" w:val="269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Ulmus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glabra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 (U.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montana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 xml:space="preserve">, U.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scabra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z w:val="18"/>
                <w:szCs w:val="18"/>
                <w:lang w:eastAsia="hu-HU"/>
              </w:rPr>
              <w:t>)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8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8"/>
                <w:sz w:val="18"/>
                <w:szCs w:val="18"/>
                <w:lang w:eastAsia="hu-HU"/>
              </w:rPr>
              <w:t>hegyi szil</w:t>
            </w:r>
          </w:p>
        </w:tc>
      </w:tr>
      <w:tr w:rsidR="00407CB4" w:rsidRPr="00407CB4" w:rsidTr="00A40F74">
        <w:trPr>
          <w:trHeight w:hRule="exact" w:val="274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Ulmus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laevis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vénic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 xml:space="preserve"> szil, lobogós szil,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-2"/>
                <w:sz w:val="18"/>
                <w:szCs w:val="18"/>
                <w:lang w:eastAsia="hu-HU"/>
              </w:rPr>
              <w:t>vénicfa</w:t>
            </w:r>
            <w:proofErr w:type="spellEnd"/>
          </w:p>
        </w:tc>
      </w:tr>
      <w:tr w:rsidR="00407CB4" w:rsidRPr="00407CB4" w:rsidTr="00A40F74">
        <w:trPr>
          <w:trHeight w:hRule="exact" w:val="357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Ulmus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 xml:space="preserve"> minor (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Ulmus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campestris</w:t>
            </w:r>
            <w:proofErr w:type="spellEnd"/>
            <w:r w:rsidRPr="00407CB4"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  <w:t>)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  <w:t>mezei szil, simalevelű mezei szil</w:t>
            </w:r>
          </w:p>
        </w:tc>
      </w:tr>
    </w:tbl>
    <w:p w:rsidR="00407CB4" w:rsidRDefault="00407CB4" w:rsidP="00407CB4">
      <w:pPr>
        <w:widowControl w:val="0"/>
        <w:ind w:left="1134" w:right="0"/>
        <w:jc w:val="center"/>
        <w:rPr>
          <w:rFonts w:ascii="Times New Roman" w:eastAsia="Times New Roman" w:hAnsi="Times New Roman" w:cs="Times New Roman"/>
          <w:color w:val="000000"/>
          <w:spacing w:val="-3"/>
          <w:sz w:val="21"/>
          <w:szCs w:val="20"/>
          <w:lang w:eastAsia="hu-HU"/>
        </w:rPr>
      </w:pPr>
    </w:p>
    <w:p w:rsidR="0094329F" w:rsidRDefault="0094329F" w:rsidP="00407CB4">
      <w:pPr>
        <w:widowControl w:val="0"/>
        <w:ind w:left="1134" w:right="0"/>
        <w:jc w:val="center"/>
        <w:rPr>
          <w:rFonts w:ascii="Times New Roman" w:eastAsia="Times New Roman" w:hAnsi="Times New Roman" w:cs="Times New Roman"/>
          <w:color w:val="000000"/>
          <w:spacing w:val="-3"/>
          <w:sz w:val="21"/>
          <w:szCs w:val="20"/>
          <w:lang w:eastAsia="hu-HU"/>
        </w:rPr>
      </w:pPr>
    </w:p>
    <w:p w:rsidR="0094329F" w:rsidRDefault="0094329F" w:rsidP="00407CB4">
      <w:pPr>
        <w:widowControl w:val="0"/>
        <w:ind w:left="1134" w:right="0"/>
        <w:jc w:val="center"/>
        <w:rPr>
          <w:rFonts w:ascii="Times New Roman" w:eastAsia="Times New Roman" w:hAnsi="Times New Roman" w:cs="Times New Roman"/>
          <w:color w:val="000000"/>
          <w:spacing w:val="-3"/>
          <w:sz w:val="21"/>
          <w:szCs w:val="20"/>
          <w:lang w:eastAsia="hu-HU"/>
        </w:rPr>
      </w:pPr>
    </w:p>
    <w:p w:rsidR="0094329F" w:rsidRPr="00407CB4" w:rsidRDefault="0094329F" w:rsidP="00407CB4">
      <w:pPr>
        <w:widowControl w:val="0"/>
        <w:ind w:left="1134" w:right="0"/>
        <w:jc w:val="center"/>
        <w:rPr>
          <w:rFonts w:ascii="Times New Roman" w:eastAsia="Times New Roman" w:hAnsi="Times New Roman" w:cs="Times New Roman"/>
          <w:color w:val="000000"/>
          <w:spacing w:val="-3"/>
          <w:sz w:val="21"/>
          <w:szCs w:val="20"/>
          <w:lang w:eastAsia="hu-HU"/>
        </w:rPr>
      </w:pPr>
    </w:p>
    <w:p w:rsidR="00407CB4" w:rsidRPr="00407CB4" w:rsidRDefault="00407CB4" w:rsidP="00407CB4">
      <w:pPr>
        <w:widowControl w:val="0"/>
        <w:ind w:left="1134" w:right="0"/>
        <w:jc w:val="left"/>
        <w:rPr>
          <w:rFonts w:ascii="Times New Roman" w:eastAsia="Times New Roman" w:hAnsi="Times New Roman" w:cs="Times New Roman"/>
          <w:color w:val="000000"/>
          <w:spacing w:val="-3"/>
          <w:sz w:val="21"/>
          <w:szCs w:val="20"/>
          <w:lang w:eastAsia="hu-HU"/>
        </w:rPr>
      </w:pPr>
      <w:r w:rsidRPr="00407CB4">
        <w:rPr>
          <w:rFonts w:ascii="Times New Roman" w:eastAsia="Times New Roman" w:hAnsi="Times New Roman" w:cs="Times New Roman"/>
          <w:color w:val="000000"/>
          <w:spacing w:val="-3"/>
          <w:sz w:val="21"/>
          <w:szCs w:val="20"/>
          <w:lang w:eastAsia="hu-HU"/>
        </w:rPr>
        <w:t>1.2 Tűlevelű fajok (fenyők)</w:t>
      </w:r>
    </w:p>
    <w:tbl>
      <w:tblPr>
        <w:tblW w:w="0" w:type="auto"/>
        <w:tblInd w:w="113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528"/>
        <w:gridCol w:w="3694"/>
      </w:tblGrid>
      <w:tr w:rsidR="00407CB4" w:rsidRPr="00407CB4" w:rsidTr="00A40F74">
        <w:trPr>
          <w:trHeight w:hRule="exact" w:val="357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1"/>
                <w:sz w:val="18"/>
                <w:szCs w:val="18"/>
                <w:lang w:eastAsia="hu-HU"/>
              </w:rPr>
            </w:pPr>
            <w:r w:rsidRPr="00407CB4">
              <w:rPr>
                <w:rFonts w:ascii="Titillium Bd" w:eastAsia="Times New Roman" w:hAnsi="Titillium Bd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  <w:t>tudományos (latin) elnevezés</w:t>
            </w:r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color w:val="000000"/>
                <w:spacing w:val="-3"/>
                <w:sz w:val="18"/>
                <w:szCs w:val="18"/>
                <w:lang w:eastAsia="hu-HU"/>
              </w:rPr>
            </w:pPr>
            <w:r w:rsidRPr="00407CB4">
              <w:rPr>
                <w:rFonts w:ascii="Titillium Bd" w:eastAsia="Times New Roman" w:hAnsi="Titillium Bd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  <w:t>magyar elnevezés</w:t>
            </w:r>
          </w:p>
        </w:tc>
      </w:tr>
      <w:tr w:rsidR="00407CB4" w:rsidRPr="00407CB4" w:rsidTr="00A40F74">
        <w:trPr>
          <w:trHeight w:hRule="exact" w:val="357"/>
        </w:trPr>
        <w:tc>
          <w:tcPr>
            <w:tcW w:w="4528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</w:pPr>
            <w:proofErr w:type="spellStart"/>
            <w:r w:rsidRPr="00407CB4">
              <w:rPr>
                <w:rFonts w:ascii="Titillium Lt" w:eastAsia="Times New Roman" w:hAnsi="Titillium Lt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  <w:t>Juniperus</w:t>
            </w:r>
            <w:proofErr w:type="spellEnd"/>
            <w:r w:rsidRPr="00407CB4">
              <w:rPr>
                <w:rFonts w:ascii="Titillium Lt" w:eastAsia="Times New Roman" w:hAnsi="Titillium Lt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tillium Lt" w:eastAsia="Times New Roman" w:hAnsi="Titillium Lt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  <w:t>communis</w:t>
            </w:r>
            <w:proofErr w:type="spellEnd"/>
          </w:p>
        </w:tc>
        <w:tc>
          <w:tcPr>
            <w:tcW w:w="369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tillium Lt" w:eastAsia="Times New Roman" w:hAnsi="Titillium Lt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</w:pPr>
            <w:r w:rsidRPr="00407CB4">
              <w:rPr>
                <w:rFonts w:ascii="Titillium Lt" w:eastAsia="Times New Roman" w:hAnsi="Titillium Lt" w:cs="Times New Roman"/>
                <w:b/>
                <w:color w:val="000000"/>
                <w:spacing w:val="6"/>
                <w:sz w:val="18"/>
                <w:szCs w:val="18"/>
                <w:lang w:eastAsia="hu-HU"/>
              </w:rPr>
              <w:t>közönséges boróka, gyalogfenyő</w:t>
            </w:r>
          </w:p>
        </w:tc>
      </w:tr>
    </w:tbl>
    <w:p w:rsidR="00407CB4" w:rsidRPr="00407CB4" w:rsidRDefault="00407CB4" w:rsidP="00407CB4">
      <w:pPr>
        <w:widowControl w:val="0"/>
        <w:ind w:left="1134" w:right="0"/>
        <w:jc w:val="center"/>
        <w:rPr>
          <w:rFonts w:ascii="Times New Roman" w:eastAsia="Times New Roman" w:hAnsi="Times New Roman" w:cs="Times New Roman"/>
          <w:color w:val="000000"/>
          <w:spacing w:val="-3"/>
          <w:sz w:val="21"/>
          <w:szCs w:val="20"/>
          <w:lang w:eastAsia="hu-HU"/>
        </w:rPr>
      </w:pPr>
    </w:p>
    <w:p w:rsidR="00407CB4" w:rsidRPr="00407CB4" w:rsidRDefault="00407CB4" w:rsidP="00407CB4">
      <w:pPr>
        <w:widowControl w:val="0"/>
        <w:spacing w:line="444" w:lineRule="atLeast"/>
        <w:ind w:left="1134" w:right="0"/>
        <w:jc w:val="left"/>
        <w:rPr>
          <w:rFonts w:ascii="Times New Roman" w:eastAsia="Times New Roman" w:hAnsi="Times New Roman" w:cs="Times New Roman"/>
          <w:color w:val="000000"/>
          <w:spacing w:val="4"/>
          <w:sz w:val="21"/>
          <w:szCs w:val="20"/>
          <w:lang w:eastAsia="hu-HU"/>
        </w:rPr>
      </w:pPr>
      <w:r w:rsidRPr="00407CB4">
        <w:rPr>
          <w:rFonts w:ascii="Times New Roman" w:eastAsia="Times New Roman" w:hAnsi="Times New Roman" w:cs="Times New Roman"/>
          <w:color w:val="000000"/>
          <w:spacing w:val="4"/>
          <w:sz w:val="21"/>
          <w:szCs w:val="20"/>
          <w:lang w:eastAsia="hu-HU"/>
        </w:rPr>
        <w:t>1.3 Lombos cserjék</w:t>
      </w:r>
    </w:p>
    <w:tbl>
      <w:tblPr>
        <w:tblW w:w="8356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56"/>
        <w:gridCol w:w="4300"/>
      </w:tblGrid>
      <w:tr w:rsidR="00407CB4" w:rsidRPr="00407CB4" w:rsidTr="0094329F">
        <w:trPr>
          <w:trHeight w:hRule="exact" w:val="27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5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b/>
                <w:color w:val="000000"/>
                <w:spacing w:val="5"/>
                <w:sz w:val="21"/>
                <w:szCs w:val="20"/>
                <w:lang w:eastAsia="hu-HU"/>
              </w:rPr>
              <w:t>tudományos (latin) név</w:t>
            </w:r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124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6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b/>
                <w:color w:val="000000"/>
                <w:spacing w:val="6"/>
                <w:sz w:val="21"/>
                <w:szCs w:val="20"/>
                <w:lang w:eastAsia="hu-HU"/>
              </w:rPr>
              <w:t>magyar elnevezés</w:t>
            </w:r>
          </w:p>
        </w:tc>
      </w:tr>
      <w:tr w:rsidR="00407CB4" w:rsidRPr="00407CB4" w:rsidTr="0094329F">
        <w:trPr>
          <w:trHeight w:hRule="exact" w:val="269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Colutea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arborescens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1245"/>
              <w:jc w:val="center"/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t>pukkanó dudafürt</w:t>
            </w:r>
          </w:p>
        </w:tc>
      </w:tr>
      <w:tr w:rsidR="00407CB4" w:rsidRPr="00407CB4" w:rsidTr="0094329F">
        <w:trPr>
          <w:trHeight w:hRule="exact" w:val="27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t>Cornus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t>mas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húsos som</w:t>
            </w:r>
          </w:p>
        </w:tc>
      </w:tr>
      <w:tr w:rsidR="00407CB4" w:rsidRPr="00407CB4" w:rsidTr="0094329F">
        <w:trPr>
          <w:trHeight w:hRule="exact" w:val="278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Cornus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sanguinea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veresgyűrű som</w:t>
            </w:r>
          </w:p>
        </w:tc>
      </w:tr>
      <w:tr w:rsidR="00407CB4" w:rsidRPr="00407CB4" w:rsidTr="0094329F">
        <w:trPr>
          <w:trHeight w:hRule="exact" w:val="26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Crataegus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laevigata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 xml:space="preserve"> (C.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oxvacantha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)</w:t>
            </w:r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1248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kétbibés galagonya</w:t>
            </w:r>
          </w:p>
        </w:tc>
      </w:tr>
      <w:tr w:rsidR="00407CB4" w:rsidRPr="00407CB4" w:rsidTr="0094329F">
        <w:trPr>
          <w:trHeight w:hRule="exact" w:val="27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Crataegus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monogyna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1248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  <w:t>egybibés galagonya</w:t>
            </w:r>
          </w:p>
        </w:tc>
      </w:tr>
      <w:tr w:rsidR="00407CB4" w:rsidRPr="00407CB4" w:rsidTr="0094329F">
        <w:trPr>
          <w:trHeight w:hRule="exact" w:val="269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4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4"/>
                <w:sz w:val="21"/>
                <w:szCs w:val="20"/>
                <w:lang w:eastAsia="hu-HU"/>
              </w:rPr>
              <w:t>Euonymus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4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4"/>
                <w:sz w:val="21"/>
                <w:szCs w:val="20"/>
                <w:lang w:eastAsia="hu-HU"/>
              </w:rPr>
              <w:t>europaeus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1248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csíkos kecskerágó</w:t>
            </w:r>
          </w:p>
        </w:tc>
      </w:tr>
      <w:tr w:rsidR="00407CB4" w:rsidRPr="00407CB4" w:rsidTr="0094329F">
        <w:trPr>
          <w:trHeight w:hRule="exact" w:val="269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Euonymus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verrucosus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1158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bibircses kecskerágó</w:t>
            </w:r>
          </w:p>
        </w:tc>
      </w:tr>
      <w:tr w:rsidR="00407CB4" w:rsidRPr="00407CB4" w:rsidTr="0094329F">
        <w:trPr>
          <w:trHeight w:hRule="exact" w:val="27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Frangula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alnus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(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Rhamnus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frangula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)</w:t>
            </w:r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94329F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ku</w:t>
            </w:r>
            <w:r w:rsidR="0094329F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ty</w:t>
            </w:r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abenge</w:t>
            </w:r>
          </w:p>
        </w:tc>
      </w:tr>
      <w:tr w:rsidR="00407CB4" w:rsidRPr="00407CB4" w:rsidTr="0094329F">
        <w:trPr>
          <w:trHeight w:hRule="exact" w:val="269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t>Hippophae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t>rhamnoides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t>homoktövis</w:t>
            </w:r>
          </w:p>
        </w:tc>
      </w:tr>
      <w:tr w:rsidR="00407CB4" w:rsidRPr="00407CB4" w:rsidTr="0094329F">
        <w:trPr>
          <w:trHeight w:hRule="exact" w:val="269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Lonicera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xylosteum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1156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ükörke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 xml:space="preserve"> lonc,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ükörke</w:t>
            </w:r>
            <w:proofErr w:type="spellEnd"/>
          </w:p>
        </w:tc>
      </w:tr>
      <w:tr w:rsidR="00407CB4" w:rsidRPr="00407CB4" w:rsidTr="0094329F">
        <w:trPr>
          <w:trHeight w:hRule="exact" w:val="27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Prunus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spinosa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1788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kökény</w:t>
            </w:r>
          </w:p>
        </w:tc>
      </w:tr>
      <w:tr w:rsidR="00407CB4" w:rsidRPr="00407CB4" w:rsidTr="0094329F">
        <w:trPr>
          <w:trHeight w:hRule="exact" w:val="27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Rhamnus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catharticus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1248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varjútövis (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benge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)</w:t>
            </w:r>
          </w:p>
        </w:tc>
      </w:tr>
      <w:tr w:rsidR="00407CB4" w:rsidRPr="00407CB4" w:rsidTr="0094329F">
        <w:trPr>
          <w:trHeight w:hRule="exact" w:val="269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Ribes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uva-crispa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2058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-</w:t>
            </w:r>
          </w:p>
        </w:tc>
      </w:tr>
      <w:tr w:rsidR="00407CB4" w:rsidRPr="00407CB4" w:rsidTr="0094329F">
        <w:trPr>
          <w:trHeight w:hRule="exact" w:val="269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Rosa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canina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gyepurozsa</w:t>
            </w:r>
            <w:proofErr w:type="spellEnd"/>
          </w:p>
        </w:tc>
      </w:tr>
      <w:tr w:rsidR="00407CB4" w:rsidRPr="00407CB4" w:rsidTr="0094329F">
        <w:trPr>
          <w:trHeight w:hRule="exact" w:val="27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Salix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caprea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kecskefűz</w:t>
            </w:r>
          </w:p>
        </w:tc>
      </w:tr>
      <w:tr w:rsidR="00407CB4" w:rsidRPr="00407CB4" w:rsidTr="0094329F">
        <w:trPr>
          <w:trHeight w:hRule="exact" w:val="269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  <w:t>Salix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  <w:t>cinerea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rekettyefűz, hamvas fűz</w:t>
            </w:r>
          </w:p>
        </w:tc>
      </w:tr>
      <w:tr w:rsidR="00407CB4" w:rsidRPr="00407CB4" w:rsidTr="0094329F">
        <w:trPr>
          <w:trHeight w:hRule="exact" w:val="269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Salix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purpurea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csigolyafűz</w:t>
            </w:r>
          </w:p>
        </w:tc>
      </w:tr>
      <w:tr w:rsidR="00407CB4" w:rsidRPr="00407CB4" w:rsidTr="0094329F">
        <w:trPr>
          <w:trHeight w:hRule="exact" w:val="27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Salix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viminalis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kosárkötő fűz</w:t>
            </w:r>
          </w:p>
        </w:tc>
      </w:tr>
      <w:tr w:rsidR="00407CB4" w:rsidRPr="00407CB4" w:rsidTr="0094329F">
        <w:trPr>
          <w:trHeight w:hRule="exact" w:val="26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Sambucus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nigra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fekete bodza</w:t>
            </w:r>
          </w:p>
        </w:tc>
      </w:tr>
      <w:tr w:rsidR="00407CB4" w:rsidRPr="00407CB4" w:rsidTr="0094329F">
        <w:trPr>
          <w:trHeight w:hRule="exact" w:val="269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  <w:t>Spirea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  <w:t>salicifolia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fűzlevelű gyöngyvessző</w:t>
            </w:r>
          </w:p>
        </w:tc>
      </w:tr>
      <w:tr w:rsidR="00407CB4" w:rsidRPr="00407CB4" w:rsidTr="0094329F">
        <w:trPr>
          <w:trHeight w:hRule="exact" w:val="26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Staphvlea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pinnata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1248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mogyorós hólyagfa</w:t>
            </w:r>
          </w:p>
        </w:tc>
      </w:tr>
      <w:tr w:rsidR="00407CB4" w:rsidRPr="00407CB4" w:rsidTr="0094329F">
        <w:trPr>
          <w:trHeight w:hRule="exact" w:val="274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Viburnum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lantana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4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4"/>
                <w:sz w:val="21"/>
                <w:szCs w:val="20"/>
                <w:lang w:eastAsia="hu-HU"/>
              </w:rPr>
              <w:t>ostorménfa</w:t>
            </w:r>
          </w:p>
        </w:tc>
      </w:tr>
      <w:tr w:rsidR="00407CB4" w:rsidRPr="00407CB4" w:rsidTr="0094329F">
        <w:trPr>
          <w:trHeight w:hRule="exact" w:val="283"/>
          <w:jc w:val="center"/>
        </w:trPr>
        <w:tc>
          <w:tcPr>
            <w:tcW w:w="40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Viburnum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opulus</w:t>
            </w:r>
            <w:proofErr w:type="spellEnd"/>
          </w:p>
        </w:tc>
        <w:tc>
          <w:tcPr>
            <w:tcW w:w="43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  <w:t>kánvabangita</w:t>
            </w:r>
            <w:proofErr w:type="spellEnd"/>
          </w:p>
        </w:tc>
      </w:tr>
    </w:tbl>
    <w:p w:rsidR="00407CB4" w:rsidRPr="00407CB4" w:rsidRDefault="00407CB4" w:rsidP="00407CB4">
      <w:pPr>
        <w:widowControl w:val="0"/>
        <w:ind w:left="1134" w:right="0"/>
        <w:jc w:val="left"/>
        <w:rPr>
          <w:rFonts w:ascii="Titillium Lt" w:eastAsia="Times New Roman" w:hAnsi="Titillium Lt" w:cs="Times New Roman"/>
          <w:color w:val="000000"/>
          <w:spacing w:val="-3"/>
          <w:sz w:val="18"/>
          <w:szCs w:val="18"/>
          <w:lang w:eastAsia="hu-HU"/>
        </w:rPr>
      </w:pPr>
      <w:r w:rsidRPr="00407CB4">
        <w:rPr>
          <w:rFonts w:ascii="Titillium Lt" w:eastAsia="Times New Roman" w:hAnsi="Titillium Lt" w:cs="Times New Roman"/>
          <w:color w:val="000000"/>
          <w:spacing w:val="-3"/>
          <w:sz w:val="18"/>
          <w:szCs w:val="18"/>
          <w:lang w:eastAsia="hu-HU"/>
        </w:rPr>
        <w:t>* nem „szöszös", hím egyedek telepítése javasolt csak</w:t>
      </w:r>
    </w:p>
    <w:p w:rsidR="00407CB4" w:rsidRPr="00407CB4" w:rsidRDefault="00407CB4" w:rsidP="00407CB4">
      <w:pPr>
        <w:widowControl w:val="0"/>
        <w:ind w:left="1134" w:right="0"/>
        <w:jc w:val="left"/>
        <w:rPr>
          <w:rFonts w:ascii="Titillium Lt" w:eastAsia="Times New Roman" w:hAnsi="Titillium Lt" w:cs="Times New Roman"/>
          <w:color w:val="000000"/>
          <w:sz w:val="18"/>
          <w:szCs w:val="18"/>
          <w:lang w:eastAsia="hu-HU"/>
        </w:rPr>
      </w:pPr>
      <w:r w:rsidRPr="00407CB4">
        <w:rPr>
          <w:rFonts w:ascii="Titillium Lt" w:eastAsia="Times New Roman" w:hAnsi="Titillium Lt" w:cs="Times New Roman"/>
          <w:color w:val="000000"/>
          <w:sz w:val="18"/>
          <w:szCs w:val="18"/>
          <w:lang w:eastAsia="hu-HU"/>
        </w:rPr>
        <w:t>** 500 m felett javasolható a telepítése</w:t>
      </w:r>
    </w:p>
    <w:p w:rsidR="00407CB4" w:rsidRPr="00407CB4" w:rsidRDefault="00407CB4" w:rsidP="00407CB4">
      <w:pPr>
        <w:widowControl w:val="0"/>
        <w:ind w:left="1134" w:right="0"/>
        <w:jc w:val="left"/>
        <w:rPr>
          <w:rFonts w:ascii="Times New Roman" w:eastAsia="Times New Roman" w:hAnsi="Times New Roman" w:cs="Times New Roman"/>
          <w:color w:val="000000"/>
          <w:spacing w:val="-1"/>
          <w:sz w:val="21"/>
          <w:szCs w:val="20"/>
          <w:lang w:eastAsia="hu-HU"/>
        </w:rPr>
      </w:pPr>
      <w:r w:rsidRPr="00407CB4">
        <w:rPr>
          <w:rFonts w:ascii="Titillium Lt" w:eastAsia="Times New Roman" w:hAnsi="Titillium Lt" w:cs="Times New Roman"/>
          <w:color w:val="000000"/>
          <w:spacing w:val="-1"/>
          <w:sz w:val="18"/>
          <w:szCs w:val="18"/>
          <w:lang w:eastAsia="hu-HU"/>
        </w:rPr>
        <w:t>Allergén növényfajok telepítése kizárólag külterületen, belterülettől és beépítésre szánt területtől nagy távolságra javasolható</w:t>
      </w:r>
      <w:r w:rsidRPr="00407CB4">
        <w:rPr>
          <w:rFonts w:ascii="Times New Roman" w:eastAsia="Times New Roman" w:hAnsi="Times New Roman" w:cs="Times New Roman"/>
          <w:color w:val="000000"/>
          <w:spacing w:val="-1"/>
          <w:sz w:val="21"/>
          <w:szCs w:val="20"/>
          <w:lang w:eastAsia="hu-HU"/>
        </w:rPr>
        <w:t>.</w:t>
      </w:r>
    </w:p>
    <w:p w:rsidR="00407CB4" w:rsidRPr="00407CB4" w:rsidRDefault="00407CB4" w:rsidP="00407CB4">
      <w:pPr>
        <w:widowControl w:val="0"/>
        <w:ind w:left="1134" w:right="0"/>
        <w:jc w:val="left"/>
        <w:rPr>
          <w:rFonts w:ascii="Times New Roman" w:eastAsia="Times New Roman" w:hAnsi="Times New Roman" w:cs="Times New Roman"/>
          <w:color w:val="000000"/>
          <w:sz w:val="20"/>
          <w:szCs w:val="20"/>
          <w:lang w:eastAsia="hu-HU"/>
        </w:rPr>
      </w:pPr>
    </w:p>
    <w:p w:rsidR="00407CB4" w:rsidRPr="00407CB4" w:rsidRDefault="00407CB4" w:rsidP="00407CB4">
      <w:pPr>
        <w:widowControl w:val="0"/>
        <w:ind w:left="1134" w:right="0"/>
        <w:jc w:val="left"/>
        <w:rPr>
          <w:rFonts w:ascii="Times New Roman" w:eastAsia="Times New Roman" w:hAnsi="Times New Roman" w:cs="Times New Roman"/>
          <w:b/>
          <w:color w:val="000000"/>
          <w:spacing w:val="3"/>
          <w:sz w:val="20"/>
          <w:szCs w:val="20"/>
          <w:lang w:eastAsia="hu-HU"/>
        </w:rPr>
      </w:pPr>
      <w:r w:rsidRPr="00407CB4">
        <w:rPr>
          <w:rFonts w:ascii="Times New Roman" w:eastAsia="Times New Roman" w:hAnsi="Times New Roman" w:cs="Times New Roman"/>
          <w:b/>
          <w:color w:val="000000"/>
          <w:spacing w:val="3"/>
          <w:sz w:val="20"/>
          <w:szCs w:val="20"/>
          <w:lang w:eastAsia="hu-HU"/>
        </w:rPr>
        <w:t xml:space="preserve">2. </w:t>
      </w:r>
      <w:proofErr w:type="spellStart"/>
      <w:r w:rsidRPr="00407CB4">
        <w:rPr>
          <w:rFonts w:ascii="Times New Roman" w:eastAsia="Times New Roman" w:hAnsi="Times New Roman" w:cs="Times New Roman"/>
          <w:b/>
          <w:color w:val="000000"/>
          <w:spacing w:val="3"/>
          <w:sz w:val="20"/>
          <w:szCs w:val="20"/>
          <w:lang w:eastAsia="hu-HU"/>
        </w:rPr>
        <w:t>Kőzterületi</w:t>
      </w:r>
      <w:proofErr w:type="spellEnd"/>
      <w:r w:rsidR="0094329F">
        <w:rPr>
          <w:rFonts w:ascii="Times New Roman" w:eastAsia="Times New Roman" w:hAnsi="Times New Roman" w:cs="Times New Roman"/>
          <w:b/>
          <w:color w:val="000000"/>
          <w:spacing w:val="3"/>
          <w:sz w:val="20"/>
          <w:szCs w:val="20"/>
          <w:lang w:eastAsia="hu-HU"/>
        </w:rPr>
        <w:t xml:space="preserve"> és magánterületi</w:t>
      </w:r>
      <w:r w:rsidRPr="00407CB4">
        <w:rPr>
          <w:rFonts w:ascii="Times New Roman" w:eastAsia="Times New Roman" w:hAnsi="Times New Roman" w:cs="Times New Roman"/>
          <w:b/>
          <w:color w:val="000000"/>
          <w:spacing w:val="3"/>
          <w:sz w:val="20"/>
          <w:szCs w:val="20"/>
          <w:lang w:eastAsia="hu-HU"/>
        </w:rPr>
        <w:t xml:space="preserve"> telepítésre tiltott növényfajok jegyzéke</w:t>
      </w:r>
    </w:p>
    <w:p w:rsidR="00407CB4" w:rsidRPr="00407CB4" w:rsidRDefault="00407CB4" w:rsidP="00407CB4">
      <w:pPr>
        <w:widowControl w:val="0"/>
        <w:ind w:left="1134" w:right="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hu-HU"/>
        </w:rPr>
      </w:pPr>
      <w:r w:rsidRPr="00407CB4">
        <w:rPr>
          <w:rFonts w:ascii="Times New Roman" w:eastAsia="Times New Roman" w:hAnsi="Times New Roman" w:cs="Times New Roman"/>
          <w:color w:val="000000"/>
          <w:sz w:val="20"/>
          <w:szCs w:val="20"/>
          <w:lang w:eastAsia="hu-HU"/>
        </w:rPr>
        <w:t>2.1 Idegenhonos inváziós növényfajok jegyzéke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54"/>
        <w:gridCol w:w="3559"/>
      </w:tblGrid>
      <w:tr w:rsidR="00407CB4" w:rsidRPr="00407CB4" w:rsidTr="00A40F74">
        <w:trPr>
          <w:trHeight w:hRule="exact" w:val="308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9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b/>
                <w:color w:val="000000"/>
                <w:spacing w:val="9"/>
                <w:sz w:val="21"/>
                <w:szCs w:val="20"/>
                <w:lang w:eastAsia="hu-HU"/>
              </w:rPr>
              <w:t>Tudományos név</w:t>
            </w:r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b/>
                <w:color w:val="000000"/>
                <w:spacing w:val="1"/>
                <w:sz w:val="21"/>
                <w:szCs w:val="20"/>
                <w:lang w:eastAsia="hu-HU"/>
              </w:rPr>
              <w:t>Magyar név</w:t>
            </w:r>
          </w:p>
        </w:tc>
      </w:tr>
      <w:tr w:rsidR="00407CB4" w:rsidRPr="00407CB4" w:rsidTr="00A40F74">
        <w:trPr>
          <w:trHeight w:hRule="exact" w:val="298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Baccharis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halimifolia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Borfa, tengerparti seprűcserje</w:t>
            </w:r>
          </w:p>
        </w:tc>
      </w:tr>
      <w:tr w:rsidR="00407CB4" w:rsidRPr="00407CB4" w:rsidTr="00A40F74">
        <w:trPr>
          <w:trHeight w:hRule="exact" w:val="298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Cabomba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caroliniana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Kaliforniai tündérhínár</w:t>
            </w:r>
          </w:p>
        </w:tc>
      </w:tr>
      <w:tr w:rsidR="00407CB4" w:rsidRPr="00407CB4" w:rsidTr="00A40F74">
        <w:trPr>
          <w:trHeight w:hRule="exact" w:val="302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Eichhornia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crassipes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0"/>
                <w:lang w:eastAsia="hu-HU"/>
              </w:rPr>
              <w:t>Vízijácint</w:t>
            </w:r>
            <w:proofErr w:type="spellEnd"/>
          </w:p>
        </w:tc>
      </w:tr>
      <w:tr w:rsidR="00407CB4" w:rsidRPr="00407CB4" w:rsidTr="00A40F74">
        <w:trPr>
          <w:trHeight w:hRule="exact" w:val="298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Heracleum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persicum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Perzsa medvetalp</w:t>
            </w:r>
          </w:p>
        </w:tc>
      </w:tr>
      <w:tr w:rsidR="00407CB4" w:rsidRPr="00407CB4" w:rsidTr="00A40F74">
        <w:trPr>
          <w:trHeight w:hRule="exact" w:val="302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Heracleum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sosnowskyi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Sosnowsky-medvetalp</w:t>
            </w:r>
            <w:proofErr w:type="spellEnd"/>
          </w:p>
        </w:tc>
      </w:tr>
      <w:tr w:rsidR="00407CB4" w:rsidRPr="00407CB4" w:rsidTr="00A40F74">
        <w:trPr>
          <w:trHeight w:hRule="exact" w:val="298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Hydrocotyle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ranunculoides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Hévízi gázló</w:t>
            </w:r>
          </w:p>
        </w:tc>
      </w:tr>
      <w:tr w:rsidR="00407CB4" w:rsidRPr="00407CB4" w:rsidTr="00A40F74">
        <w:trPr>
          <w:trHeight w:hRule="exact" w:val="298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Lagarosiphon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 xml:space="preserve"> major</w:t>
            </w:r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t>Fodros átokhínár</w:t>
            </w:r>
          </w:p>
        </w:tc>
      </w:tr>
      <w:tr w:rsidR="00407CB4" w:rsidRPr="00407CB4" w:rsidTr="00A40F74">
        <w:trPr>
          <w:trHeight w:hRule="exact" w:val="233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Ludwigia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grandiflora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Nagyvirágú tóalma</w:t>
            </w:r>
          </w:p>
        </w:tc>
      </w:tr>
      <w:tr w:rsidR="00407CB4" w:rsidRPr="00407CB4" w:rsidTr="00A40F74">
        <w:trPr>
          <w:trHeight w:hRule="exact" w:val="282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Ludua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igia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peploides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Sárgavirágú tóalma</w:t>
            </w:r>
          </w:p>
        </w:tc>
      </w:tr>
      <w:tr w:rsidR="00407CB4" w:rsidRPr="00407CB4" w:rsidTr="00A40F74">
        <w:trPr>
          <w:trHeight w:hRule="exact" w:val="315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Lysichiton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americanus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Sárga lápbuzogány</w:t>
            </w:r>
          </w:p>
        </w:tc>
      </w:tr>
      <w:tr w:rsidR="00407CB4" w:rsidRPr="00407CB4" w:rsidTr="00A40F74">
        <w:trPr>
          <w:trHeight w:hRule="exact" w:val="221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Myriophyllum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aquaticum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Közönséges süllőhínár</w:t>
            </w:r>
          </w:p>
        </w:tc>
      </w:tr>
      <w:tr w:rsidR="00407CB4" w:rsidRPr="00407CB4" w:rsidTr="00A40F74">
        <w:trPr>
          <w:trHeight w:hRule="exact" w:val="269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lastRenderedPageBreak/>
              <w:t>Parthenium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3"/>
                <w:sz w:val="21"/>
                <w:szCs w:val="20"/>
                <w:lang w:eastAsia="hu-HU"/>
              </w:rPr>
              <w:t>hysterophorus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Keserű hamisüröm</w:t>
            </w:r>
          </w:p>
        </w:tc>
      </w:tr>
      <w:tr w:rsidR="00407CB4" w:rsidRPr="00407CB4" w:rsidTr="00A40F74">
        <w:trPr>
          <w:trHeight w:hRule="exact" w:val="317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Persicaria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perfoliata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Ördögfarok keserűfű</w:t>
            </w:r>
          </w:p>
        </w:tc>
      </w:tr>
      <w:tr w:rsidR="00407CB4" w:rsidRPr="00407CB4" w:rsidTr="00A40F74">
        <w:trPr>
          <w:trHeight w:hRule="exact" w:val="223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Pueraria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montana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 xml:space="preserve"> var.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lobata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Kudzu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nyílgyökér</w:t>
            </w:r>
          </w:p>
        </w:tc>
      </w:tr>
      <w:tr w:rsidR="00407CB4" w:rsidRPr="00407CB4" w:rsidTr="00A40F74">
        <w:trPr>
          <w:trHeight w:hRule="exact" w:val="284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Asclepias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syriaca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Közönséges selyemkóró</w:t>
            </w:r>
          </w:p>
        </w:tc>
      </w:tr>
      <w:tr w:rsidR="00407CB4" w:rsidRPr="00407CB4" w:rsidTr="00A40F74">
        <w:trPr>
          <w:trHeight w:hRule="exact" w:val="273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Elodea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nuttallii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Vékonylevelű átokhínár</w:t>
            </w:r>
          </w:p>
        </w:tc>
      </w:tr>
      <w:tr w:rsidR="00407CB4" w:rsidRPr="00407CB4" w:rsidTr="00A40F74">
        <w:trPr>
          <w:trHeight w:hRule="exact" w:val="381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Impatiens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glandulifera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Bíbor nebáncsvirág</w:t>
            </w:r>
          </w:p>
        </w:tc>
      </w:tr>
      <w:tr w:rsidR="00407CB4" w:rsidRPr="00407CB4" w:rsidTr="00A40F74">
        <w:trPr>
          <w:trHeight w:hRule="exact" w:val="381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Myriophyllum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heterophyllum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Felemáslevelű süllőhínár</w:t>
            </w:r>
          </w:p>
        </w:tc>
      </w:tr>
      <w:tr w:rsidR="00407CB4" w:rsidRPr="00407CB4" w:rsidTr="00A40F74">
        <w:trPr>
          <w:trHeight w:hRule="exact" w:val="381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Heracleum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mantegazzianum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Kaukázusi medvetalp</w:t>
            </w:r>
          </w:p>
        </w:tc>
      </w:tr>
      <w:tr w:rsidR="00407CB4" w:rsidRPr="00407CB4" w:rsidTr="00A40F74">
        <w:trPr>
          <w:trHeight w:hRule="exact" w:val="381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Gunnera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tinctoria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Oriásrebarbara</w:t>
            </w:r>
            <w:proofErr w:type="spellEnd"/>
          </w:p>
        </w:tc>
      </w:tr>
      <w:tr w:rsidR="00407CB4" w:rsidRPr="00407CB4" w:rsidTr="00A40F74">
        <w:trPr>
          <w:trHeight w:hRule="exact" w:val="381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Pennisetum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setaceum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Tollborzfű</w:t>
            </w:r>
            <w:proofErr w:type="spellEnd"/>
          </w:p>
        </w:tc>
      </w:tr>
      <w:tr w:rsidR="00407CB4" w:rsidRPr="00407CB4" w:rsidTr="00A40F74">
        <w:trPr>
          <w:trHeight w:hRule="exact" w:val="381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Alternanthera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philoxeroides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</w:p>
        </w:tc>
      </w:tr>
      <w:tr w:rsidR="00407CB4" w:rsidRPr="00407CB4" w:rsidTr="00A40F74">
        <w:trPr>
          <w:trHeight w:hRule="exact" w:val="381"/>
          <w:jc w:val="center"/>
        </w:trPr>
        <w:tc>
          <w:tcPr>
            <w:tcW w:w="35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Microstegium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vimineum</w:t>
            </w:r>
            <w:proofErr w:type="spellEnd"/>
          </w:p>
        </w:tc>
        <w:tc>
          <w:tcPr>
            <w:tcW w:w="355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</w:p>
        </w:tc>
      </w:tr>
    </w:tbl>
    <w:p w:rsidR="00407CB4" w:rsidRPr="00407CB4" w:rsidRDefault="00407CB4" w:rsidP="00407CB4">
      <w:pPr>
        <w:widowControl w:val="0"/>
        <w:ind w:left="1134" w:right="0"/>
        <w:jc w:val="center"/>
        <w:rPr>
          <w:rFonts w:ascii="Times New Roman" w:eastAsia="Times New Roman" w:hAnsi="Times New Roman" w:cs="Times New Roman"/>
          <w:color w:val="000000"/>
          <w:spacing w:val="-3"/>
          <w:sz w:val="21"/>
          <w:szCs w:val="20"/>
          <w:lang w:eastAsia="hu-HU"/>
        </w:rPr>
      </w:pPr>
    </w:p>
    <w:p w:rsidR="00407CB4" w:rsidRPr="00407CB4" w:rsidRDefault="00407CB4" w:rsidP="00407CB4">
      <w:pPr>
        <w:widowControl w:val="0"/>
        <w:spacing w:after="144"/>
        <w:ind w:left="1134" w:right="0"/>
        <w:jc w:val="left"/>
        <w:rPr>
          <w:rFonts w:ascii="Times New Roman" w:eastAsia="Times New Roman" w:hAnsi="Times New Roman" w:cs="Times New Roman"/>
          <w:color w:val="000000"/>
          <w:spacing w:val="-1"/>
          <w:sz w:val="21"/>
          <w:szCs w:val="20"/>
          <w:lang w:eastAsia="hu-HU"/>
        </w:rPr>
      </w:pPr>
      <w:r w:rsidRPr="00407CB4">
        <w:rPr>
          <w:rFonts w:ascii="Times New Roman" w:eastAsia="Times New Roman" w:hAnsi="Times New Roman" w:cs="Times New Roman"/>
          <w:color w:val="000000"/>
          <w:sz w:val="21"/>
          <w:szCs w:val="20"/>
          <w:lang w:eastAsia="hu-HU"/>
        </w:rPr>
        <w:t xml:space="preserve">2.2 </w:t>
      </w:r>
      <w:proofErr w:type="spellStart"/>
      <w:r w:rsidRPr="00407CB4">
        <w:rPr>
          <w:rFonts w:ascii="Times New Roman" w:eastAsia="Times New Roman" w:hAnsi="Times New Roman" w:cs="Times New Roman"/>
          <w:color w:val="000000"/>
          <w:sz w:val="21"/>
          <w:szCs w:val="20"/>
          <w:lang w:eastAsia="hu-HU"/>
        </w:rPr>
        <w:t>Natura</w:t>
      </w:r>
      <w:proofErr w:type="spellEnd"/>
      <w:r w:rsidRPr="00407CB4">
        <w:rPr>
          <w:rFonts w:ascii="Times New Roman" w:eastAsia="Times New Roman" w:hAnsi="Times New Roman" w:cs="Times New Roman"/>
          <w:color w:val="000000"/>
          <w:sz w:val="21"/>
          <w:szCs w:val="20"/>
          <w:lang w:eastAsia="hu-HU"/>
        </w:rPr>
        <w:t xml:space="preserve"> 2000 gyepterületeken </w:t>
      </w:r>
      <w:r w:rsidRPr="00407CB4">
        <w:rPr>
          <w:rFonts w:ascii="Times New Roman" w:eastAsia="Times New Roman" w:hAnsi="Times New Roman" w:cs="Times New Roman"/>
          <w:b/>
          <w:color w:val="000000"/>
          <w:spacing w:val="-5"/>
          <w:sz w:val="21"/>
          <w:szCs w:val="20"/>
          <w:lang w:eastAsia="hu-HU"/>
        </w:rPr>
        <w:t xml:space="preserve">termőhely-idegen </w:t>
      </w:r>
      <w:r w:rsidRPr="00407CB4">
        <w:rPr>
          <w:rFonts w:ascii="Times New Roman" w:eastAsia="Times New Roman" w:hAnsi="Times New Roman" w:cs="Times New Roman"/>
          <w:color w:val="000000"/>
          <w:spacing w:val="-1"/>
          <w:sz w:val="21"/>
          <w:szCs w:val="20"/>
          <w:lang w:eastAsia="hu-HU"/>
        </w:rPr>
        <w:t>inváziós növényfajok jegyzéke</w:t>
      </w:r>
    </w:p>
    <w:tbl>
      <w:tblPr>
        <w:tblW w:w="0" w:type="auto"/>
        <w:tblInd w:w="17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44"/>
        <w:gridCol w:w="3544"/>
      </w:tblGrid>
      <w:tr w:rsidR="00407CB4" w:rsidRPr="00407CB4" w:rsidTr="00A40F74">
        <w:trPr>
          <w:trHeight w:hRule="exact" w:val="472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spacing w:before="108"/>
              <w:ind w:left="1134" w:righ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9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b/>
                <w:color w:val="000000"/>
                <w:spacing w:val="9"/>
                <w:sz w:val="21"/>
                <w:szCs w:val="20"/>
                <w:lang w:eastAsia="hu-HU"/>
              </w:rPr>
              <w:t>Tudományos név</w:t>
            </w:r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b/>
                <w:color w:val="000000"/>
                <w:spacing w:val="2"/>
                <w:sz w:val="21"/>
                <w:szCs w:val="20"/>
                <w:lang w:eastAsia="hu-HU"/>
              </w:rPr>
              <w:t>Magyar név</w:t>
            </w:r>
          </w:p>
        </w:tc>
      </w:tr>
      <w:tr w:rsidR="00407CB4" w:rsidRPr="00407CB4" w:rsidTr="00A40F74">
        <w:trPr>
          <w:trHeight w:hRule="exact" w:val="331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Robinia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pseudo-acacia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akác</w:t>
            </w:r>
          </w:p>
        </w:tc>
      </w:tr>
      <w:tr w:rsidR="00407CB4" w:rsidRPr="00407CB4" w:rsidTr="00A40F74">
        <w:trPr>
          <w:trHeight w:hRule="exact" w:val="331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Fraxinus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americana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amerikai kőris</w:t>
            </w:r>
          </w:p>
        </w:tc>
      </w:tr>
      <w:tr w:rsidR="00407CB4" w:rsidRPr="00407CB4" w:rsidTr="00A40F74">
        <w:trPr>
          <w:trHeight w:hRule="exact" w:val="326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Ailanthus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altissima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bálvánvfa</w:t>
            </w:r>
            <w:proofErr w:type="spellEnd"/>
          </w:p>
        </w:tc>
      </w:tr>
      <w:tr w:rsidR="00407CB4" w:rsidRPr="00407CB4" w:rsidTr="00A40F74">
        <w:trPr>
          <w:trHeight w:hRule="exact" w:val="331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Elaeagnus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angustifolia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keskenvlevelű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 xml:space="preserve"> ezüstfa</w:t>
            </w:r>
          </w:p>
        </w:tc>
      </w:tr>
      <w:tr w:rsidR="00407CB4" w:rsidRPr="00407CB4" w:rsidTr="00A40F74">
        <w:trPr>
          <w:trHeight w:hRule="exact" w:val="331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Pinus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nigra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fekete fenyő</w:t>
            </w:r>
          </w:p>
        </w:tc>
      </w:tr>
      <w:tr w:rsidR="00407CB4" w:rsidRPr="00407CB4" w:rsidTr="00A40F74">
        <w:trPr>
          <w:trHeight w:hRule="exact" w:val="326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Pinus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silvestris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erdei fenyő</w:t>
            </w:r>
          </w:p>
        </w:tc>
      </w:tr>
      <w:tr w:rsidR="00407CB4" w:rsidRPr="00407CB4" w:rsidTr="00A40F74">
        <w:trPr>
          <w:trHeight w:hRule="exact" w:val="326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Amorpha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fruticosa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gyalogakác</w:t>
            </w:r>
          </w:p>
        </w:tc>
      </w:tr>
      <w:tr w:rsidR="00407CB4" w:rsidRPr="00407CB4" w:rsidTr="00A40F74">
        <w:trPr>
          <w:trHeight w:hRule="exact" w:val="336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Prunus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serotina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kései meggy</w:t>
            </w:r>
          </w:p>
        </w:tc>
      </w:tr>
      <w:tr w:rsidR="00407CB4" w:rsidRPr="00407CB4" w:rsidTr="00A40F74">
        <w:trPr>
          <w:trHeight w:hRule="exact" w:val="326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Acer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negundo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5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5"/>
                <w:sz w:val="21"/>
                <w:szCs w:val="20"/>
                <w:lang w:eastAsia="hu-HU"/>
              </w:rPr>
              <w:t>zöld juhar</w:t>
            </w:r>
          </w:p>
        </w:tc>
      </w:tr>
      <w:tr w:rsidR="00407CB4" w:rsidRPr="00407CB4" w:rsidTr="00A40F74">
        <w:trPr>
          <w:trHeight w:hRule="exact" w:val="331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Phvtolacca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americana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alkörmös</w:t>
            </w:r>
          </w:p>
        </w:tc>
      </w:tr>
      <w:tr w:rsidR="00407CB4" w:rsidRPr="00407CB4" w:rsidTr="00A40F74">
        <w:trPr>
          <w:trHeight w:hRule="exact" w:val="331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Fallopia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spp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.</w:t>
            </w:r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japánkeserűfű fajok</w:t>
            </w:r>
          </w:p>
        </w:tc>
      </w:tr>
      <w:tr w:rsidR="00407CB4" w:rsidRPr="00407CB4" w:rsidTr="00A40F74">
        <w:trPr>
          <w:trHeight w:hRule="exact" w:val="331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Solidago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canadensis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kanadai aranyvessző</w:t>
            </w:r>
          </w:p>
        </w:tc>
      </w:tr>
      <w:tr w:rsidR="00407CB4" w:rsidRPr="00407CB4" w:rsidTr="00A40F74">
        <w:trPr>
          <w:trHeight w:hRule="exact" w:val="326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Solidago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gigantea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magas aranyvessző</w:t>
            </w:r>
          </w:p>
        </w:tc>
      </w:tr>
      <w:tr w:rsidR="00407CB4" w:rsidRPr="00407CB4" w:rsidTr="00A40F74">
        <w:trPr>
          <w:trHeight w:hRule="exact" w:val="331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Ambrosia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1"/>
                <w:sz w:val="21"/>
                <w:szCs w:val="20"/>
                <w:lang w:eastAsia="hu-HU"/>
              </w:rPr>
              <w:t>artemisifolia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-2"/>
                <w:sz w:val="21"/>
                <w:szCs w:val="20"/>
                <w:lang w:eastAsia="hu-HU"/>
              </w:rPr>
              <w:t>parlagfű</w:t>
            </w:r>
          </w:p>
        </w:tc>
      </w:tr>
      <w:tr w:rsidR="00407CB4" w:rsidRPr="00407CB4" w:rsidTr="00A40F74">
        <w:trPr>
          <w:trHeight w:hRule="exact" w:val="331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Asclepias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-4"/>
                <w:sz w:val="21"/>
                <w:szCs w:val="20"/>
                <w:lang w:eastAsia="hu-HU"/>
              </w:rPr>
              <w:t>svriaca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z w:val="21"/>
                <w:szCs w:val="20"/>
                <w:lang w:eastAsia="hu-HU"/>
              </w:rPr>
              <w:t>selyemkóró</w:t>
            </w:r>
          </w:p>
        </w:tc>
      </w:tr>
      <w:tr w:rsidR="00407CB4" w:rsidRPr="00407CB4" w:rsidTr="00A40F74">
        <w:trPr>
          <w:trHeight w:hRule="exact" w:val="414"/>
        </w:trPr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</w:pP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Echinocystis</w:t>
            </w:r>
            <w:proofErr w:type="spellEnd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 xml:space="preserve"> </w:t>
            </w:r>
            <w:proofErr w:type="spellStart"/>
            <w:r w:rsidRPr="00407CB4">
              <w:rPr>
                <w:rFonts w:ascii="Times New Roman" w:eastAsia="Times New Roman" w:hAnsi="Times New Roman" w:cs="Times New Roman"/>
                <w:color w:val="000000"/>
                <w:spacing w:val="1"/>
                <w:sz w:val="21"/>
                <w:szCs w:val="20"/>
                <w:lang w:eastAsia="hu-HU"/>
              </w:rPr>
              <w:t>lobata</w:t>
            </w:r>
            <w:proofErr w:type="spellEnd"/>
          </w:p>
        </w:tc>
        <w:tc>
          <w:tcPr>
            <w:tcW w:w="3544" w:type="dxa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407CB4" w:rsidRPr="00407CB4" w:rsidRDefault="00407CB4" w:rsidP="00407CB4">
            <w:pPr>
              <w:widowControl w:val="0"/>
              <w:spacing w:after="72"/>
              <w:ind w:left="1134" w:right="0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</w:pPr>
            <w:r w:rsidRPr="00407CB4">
              <w:rPr>
                <w:rFonts w:ascii="Times New Roman" w:eastAsia="Times New Roman" w:hAnsi="Times New Roman" w:cs="Times New Roman"/>
                <w:color w:val="000000"/>
                <w:spacing w:val="2"/>
                <w:sz w:val="21"/>
                <w:szCs w:val="20"/>
                <w:lang w:eastAsia="hu-HU"/>
              </w:rPr>
              <w:t>süntök</w:t>
            </w:r>
          </w:p>
        </w:tc>
      </w:tr>
    </w:tbl>
    <w:p w:rsidR="00407CB4" w:rsidRPr="00407CB4" w:rsidRDefault="00407CB4" w:rsidP="00407CB4">
      <w:pPr>
        <w:widowControl w:val="0"/>
        <w:ind w:left="1134" w:right="0"/>
        <w:jc w:val="left"/>
        <w:rPr>
          <w:rFonts w:ascii="Times New Roman" w:eastAsia="Times New Roman" w:hAnsi="Times New Roman" w:cs="Times New Roman"/>
          <w:color w:val="000000"/>
          <w:spacing w:val="-3"/>
          <w:sz w:val="21"/>
          <w:szCs w:val="20"/>
          <w:lang w:eastAsia="hu-HU"/>
        </w:rPr>
      </w:pPr>
    </w:p>
    <w:p w:rsidR="00407CB4" w:rsidRPr="00407CB4" w:rsidRDefault="00407CB4" w:rsidP="00407CB4">
      <w:pPr>
        <w:ind w:right="0"/>
        <w:jc w:val="left"/>
        <w:rPr>
          <w:rFonts w:ascii="Titillium Bd" w:hAnsi="Titillium Bd" w:cs="Times New Roman"/>
          <w:color w:val="000000" w:themeColor="text1"/>
          <w:sz w:val="18"/>
          <w:szCs w:val="18"/>
        </w:rPr>
      </w:pPr>
    </w:p>
    <w:sectPr w:rsidR="00407CB4" w:rsidRPr="00407CB4" w:rsidSect="00D27BCA">
      <w:pgSz w:w="11906" w:h="16838"/>
      <w:pgMar w:top="1417" w:right="1274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Titillium Lt">
    <w:altName w:val="Arial"/>
    <w:panose1 w:val="00000000000000000000"/>
    <w:charset w:val="00"/>
    <w:family w:val="modern"/>
    <w:notTrueType/>
    <w:pitch w:val="variable"/>
    <w:sig w:usb0="00000001" w:usb1="00000001" w:usb2="00000000" w:usb3="00000000" w:csb0="00000093" w:csb1="00000000"/>
  </w:font>
  <w:font w:name="Titillium Bd">
    <w:altName w:val="Arial"/>
    <w:panose1 w:val="00000000000000000000"/>
    <w:charset w:val="00"/>
    <w:family w:val="modern"/>
    <w:notTrueType/>
    <w:pitch w:val="variable"/>
    <w:sig w:usb0="00000001" w:usb1="00000001" w:usb2="00000000" w:usb3="00000000" w:csb0="00000093" w:csb1="00000000"/>
  </w:font>
  <w:font w:name="Arial-Bold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313E0F"/>
    <w:multiLevelType w:val="hybridMultilevel"/>
    <w:tmpl w:val="0846E840"/>
    <w:lvl w:ilvl="0" w:tplc="B1440C30">
      <w:start w:val="2"/>
      <w:numFmt w:val="decimal"/>
      <w:lvlText w:val="%1."/>
      <w:lvlJc w:val="left"/>
      <w:pPr>
        <w:ind w:left="4329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148" w:hanging="360"/>
      </w:pPr>
    </w:lvl>
    <w:lvl w:ilvl="2" w:tplc="040E001B" w:tentative="1">
      <w:start w:val="1"/>
      <w:numFmt w:val="lowerRoman"/>
      <w:lvlText w:val="%3."/>
      <w:lvlJc w:val="right"/>
      <w:pPr>
        <w:ind w:left="2868" w:hanging="180"/>
      </w:pPr>
    </w:lvl>
    <w:lvl w:ilvl="3" w:tplc="040E000F" w:tentative="1">
      <w:start w:val="1"/>
      <w:numFmt w:val="decimal"/>
      <w:lvlText w:val="%4."/>
      <w:lvlJc w:val="left"/>
      <w:pPr>
        <w:ind w:left="3588" w:hanging="360"/>
      </w:pPr>
    </w:lvl>
    <w:lvl w:ilvl="4" w:tplc="040E0019" w:tentative="1">
      <w:start w:val="1"/>
      <w:numFmt w:val="lowerLetter"/>
      <w:lvlText w:val="%5."/>
      <w:lvlJc w:val="left"/>
      <w:pPr>
        <w:ind w:left="4308" w:hanging="360"/>
      </w:pPr>
    </w:lvl>
    <w:lvl w:ilvl="5" w:tplc="040E001B" w:tentative="1">
      <w:start w:val="1"/>
      <w:numFmt w:val="lowerRoman"/>
      <w:lvlText w:val="%6."/>
      <w:lvlJc w:val="right"/>
      <w:pPr>
        <w:ind w:left="5028" w:hanging="180"/>
      </w:pPr>
    </w:lvl>
    <w:lvl w:ilvl="6" w:tplc="040E000F" w:tentative="1">
      <w:start w:val="1"/>
      <w:numFmt w:val="decimal"/>
      <w:lvlText w:val="%7."/>
      <w:lvlJc w:val="left"/>
      <w:pPr>
        <w:ind w:left="5748" w:hanging="360"/>
      </w:pPr>
    </w:lvl>
    <w:lvl w:ilvl="7" w:tplc="040E0019" w:tentative="1">
      <w:start w:val="1"/>
      <w:numFmt w:val="lowerLetter"/>
      <w:lvlText w:val="%8."/>
      <w:lvlJc w:val="left"/>
      <w:pPr>
        <w:ind w:left="6468" w:hanging="360"/>
      </w:pPr>
    </w:lvl>
    <w:lvl w:ilvl="8" w:tplc="040E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" w15:restartNumberingAfterBreak="0">
    <w:nsid w:val="0288531D"/>
    <w:multiLevelType w:val="hybridMultilevel"/>
    <w:tmpl w:val="9A6A3F0E"/>
    <w:lvl w:ilvl="0" w:tplc="B8A40EB2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i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FB059B"/>
    <w:multiLevelType w:val="hybridMultilevel"/>
    <w:tmpl w:val="861A0B9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217FC1"/>
    <w:multiLevelType w:val="hybridMultilevel"/>
    <w:tmpl w:val="B2143A86"/>
    <w:lvl w:ilvl="0" w:tplc="B8A40EB2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i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3074B2"/>
    <w:multiLevelType w:val="hybridMultilevel"/>
    <w:tmpl w:val="4C605B6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7D0C77"/>
    <w:multiLevelType w:val="hybridMultilevel"/>
    <w:tmpl w:val="EBC0A958"/>
    <w:lvl w:ilvl="0" w:tplc="B1440C30">
      <w:start w:val="2"/>
      <w:numFmt w:val="decimal"/>
      <w:lvlText w:val="%1."/>
      <w:lvlJc w:val="left"/>
      <w:pPr>
        <w:ind w:left="3621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4341" w:hanging="360"/>
      </w:pPr>
    </w:lvl>
    <w:lvl w:ilvl="2" w:tplc="040E001B" w:tentative="1">
      <w:start w:val="1"/>
      <w:numFmt w:val="lowerRoman"/>
      <w:lvlText w:val="%3."/>
      <w:lvlJc w:val="right"/>
      <w:pPr>
        <w:ind w:left="5061" w:hanging="180"/>
      </w:pPr>
    </w:lvl>
    <w:lvl w:ilvl="3" w:tplc="040E000F" w:tentative="1">
      <w:start w:val="1"/>
      <w:numFmt w:val="decimal"/>
      <w:lvlText w:val="%4."/>
      <w:lvlJc w:val="left"/>
      <w:pPr>
        <w:ind w:left="5781" w:hanging="360"/>
      </w:pPr>
    </w:lvl>
    <w:lvl w:ilvl="4" w:tplc="040E0019" w:tentative="1">
      <w:start w:val="1"/>
      <w:numFmt w:val="lowerLetter"/>
      <w:lvlText w:val="%5."/>
      <w:lvlJc w:val="left"/>
      <w:pPr>
        <w:ind w:left="6501" w:hanging="360"/>
      </w:pPr>
    </w:lvl>
    <w:lvl w:ilvl="5" w:tplc="040E001B" w:tentative="1">
      <w:start w:val="1"/>
      <w:numFmt w:val="lowerRoman"/>
      <w:lvlText w:val="%6."/>
      <w:lvlJc w:val="right"/>
      <w:pPr>
        <w:ind w:left="7221" w:hanging="180"/>
      </w:pPr>
    </w:lvl>
    <w:lvl w:ilvl="6" w:tplc="040E000F" w:tentative="1">
      <w:start w:val="1"/>
      <w:numFmt w:val="decimal"/>
      <w:lvlText w:val="%7."/>
      <w:lvlJc w:val="left"/>
      <w:pPr>
        <w:ind w:left="7941" w:hanging="360"/>
      </w:pPr>
    </w:lvl>
    <w:lvl w:ilvl="7" w:tplc="040E0019" w:tentative="1">
      <w:start w:val="1"/>
      <w:numFmt w:val="lowerLetter"/>
      <w:lvlText w:val="%8."/>
      <w:lvlJc w:val="left"/>
      <w:pPr>
        <w:ind w:left="8661" w:hanging="360"/>
      </w:pPr>
    </w:lvl>
    <w:lvl w:ilvl="8" w:tplc="040E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6" w15:restartNumberingAfterBreak="0">
    <w:nsid w:val="13F43AED"/>
    <w:multiLevelType w:val="hybridMultilevel"/>
    <w:tmpl w:val="A03A5B04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744632"/>
    <w:multiLevelType w:val="hybridMultilevel"/>
    <w:tmpl w:val="79D2058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543BB9"/>
    <w:multiLevelType w:val="hybridMultilevel"/>
    <w:tmpl w:val="E6A2503E"/>
    <w:lvl w:ilvl="0" w:tplc="B8A40EB2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i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303988"/>
    <w:multiLevelType w:val="hybridMultilevel"/>
    <w:tmpl w:val="8D6836E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5F225F"/>
    <w:multiLevelType w:val="hybridMultilevel"/>
    <w:tmpl w:val="AB66EDD2"/>
    <w:lvl w:ilvl="0" w:tplc="C6706C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512B0E"/>
    <w:multiLevelType w:val="hybridMultilevel"/>
    <w:tmpl w:val="D4BE1CE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352DF9"/>
    <w:multiLevelType w:val="hybridMultilevel"/>
    <w:tmpl w:val="4712E27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144881"/>
    <w:multiLevelType w:val="hybridMultilevel"/>
    <w:tmpl w:val="7384296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D36116F"/>
    <w:multiLevelType w:val="hybridMultilevel"/>
    <w:tmpl w:val="E5A8249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DD71D67"/>
    <w:multiLevelType w:val="hybridMultilevel"/>
    <w:tmpl w:val="46C67C5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FA738FE"/>
    <w:multiLevelType w:val="hybridMultilevel"/>
    <w:tmpl w:val="58ECBB3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4FC3039"/>
    <w:multiLevelType w:val="hybridMultilevel"/>
    <w:tmpl w:val="CAAEFD7A"/>
    <w:lvl w:ilvl="0" w:tplc="C00C150A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5BE4252"/>
    <w:multiLevelType w:val="hybridMultilevel"/>
    <w:tmpl w:val="0D6A17FA"/>
    <w:lvl w:ilvl="0" w:tplc="040E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9" w15:restartNumberingAfterBreak="0">
    <w:nsid w:val="46D653BD"/>
    <w:multiLevelType w:val="hybridMultilevel"/>
    <w:tmpl w:val="83828D7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6BE041D"/>
    <w:multiLevelType w:val="hybridMultilevel"/>
    <w:tmpl w:val="0B0A02A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14612DD"/>
    <w:multiLevelType w:val="hybridMultilevel"/>
    <w:tmpl w:val="A8C627C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2040472"/>
    <w:multiLevelType w:val="hybridMultilevel"/>
    <w:tmpl w:val="B6D6B38E"/>
    <w:lvl w:ilvl="0" w:tplc="B92ECB0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7E3E6A">
      <w:numFmt w:val="bullet"/>
      <w:lvlText w:val="•"/>
      <w:lvlJc w:val="left"/>
      <w:pPr>
        <w:ind w:left="1500" w:hanging="420"/>
      </w:pPr>
      <w:rPr>
        <w:rFonts w:ascii="Times New Roman" w:eastAsia="Times New Roman" w:hAnsi="Times New Roman" w:cs="Times New Roman" w:hint="default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49A2730"/>
    <w:multiLevelType w:val="hybridMultilevel"/>
    <w:tmpl w:val="195E828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7F16906"/>
    <w:multiLevelType w:val="hybridMultilevel"/>
    <w:tmpl w:val="919A63E2"/>
    <w:lvl w:ilvl="0" w:tplc="A40A9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28523FB"/>
    <w:multiLevelType w:val="hybridMultilevel"/>
    <w:tmpl w:val="AB66EDD2"/>
    <w:lvl w:ilvl="0" w:tplc="C6706C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8"/>
  </w:num>
  <w:num w:numId="4">
    <w:abstractNumId w:val="22"/>
  </w:num>
  <w:num w:numId="5">
    <w:abstractNumId w:val="5"/>
  </w:num>
  <w:num w:numId="6">
    <w:abstractNumId w:val="17"/>
  </w:num>
  <w:num w:numId="7">
    <w:abstractNumId w:val="10"/>
  </w:num>
  <w:num w:numId="8">
    <w:abstractNumId w:val="24"/>
  </w:num>
  <w:num w:numId="9">
    <w:abstractNumId w:val="0"/>
  </w:num>
  <w:num w:numId="10">
    <w:abstractNumId w:val="6"/>
  </w:num>
  <w:num w:numId="11">
    <w:abstractNumId w:val="25"/>
  </w:num>
  <w:num w:numId="12">
    <w:abstractNumId w:val="9"/>
  </w:num>
  <w:num w:numId="13">
    <w:abstractNumId w:val="12"/>
  </w:num>
  <w:num w:numId="14">
    <w:abstractNumId w:val="21"/>
  </w:num>
  <w:num w:numId="15">
    <w:abstractNumId w:val="16"/>
  </w:num>
  <w:num w:numId="16">
    <w:abstractNumId w:val="11"/>
  </w:num>
  <w:num w:numId="17">
    <w:abstractNumId w:val="23"/>
  </w:num>
  <w:num w:numId="18">
    <w:abstractNumId w:val="20"/>
  </w:num>
  <w:num w:numId="19">
    <w:abstractNumId w:val="4"/>
  </w:num>
  <w:num w:numId="20">
    <w:abstractNumId w:val="14"/>
  </w:num>
  <w:num w:numId="21">
    <w:abstractNumId w:val="15"/>
  </w:num>
  <w:num w:numId="22">
    <w:abstractNumId w:val="19"/>
  </w:num>
  <w:num w:numId="23">
    <w:abstractNumId w:val="2"/>
  </w:num>
  <w:num w:numId="24">
    <w:abstractNumId w:val="18"/>
  </w:num>
  <w:num w:numId="25">
    <w:abstractNumId w:val="7"/>
  </w:num>
  <w:num w:numId="2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19CE"/>
    <w:rsid w:val="0004105E"/>
    <w:rsid w:val="00043E05"/>
    <w:rsid w:val="00052F3E"/>
    <w:rsid w:val="00060146"/>
    <w:rsid w:val="000B12BD"/>
    <w:rsid w:val="000C30D6"/>
    <w:rsid w:val="001F0B1A"/>
    <w:rsid w:val="00232668"/>
    <w:rsid w:val="00271715"/>
    <w:rsid w:val="002E7627"/>
    <w:rsid w:val="00341E1E"/>
    <w:rsid w:val="003476CA"/>
    <w:rsid w:val="003F1C86"/>
    <w:rsid w:val="00407CB4"/>
    <w:rsid w:val="00461C61"/>
    <w:rsid w:val="004719CE"/>
    <w:rsid w:val="00496A87"/>
    <w:rsid w:val="004B46EA"/>
    <w:rsid w:val="004C599F"/>
    <w:rsid w:val="004D4BB3"/>
    <w:rsid w:val="005579DD"/>
    <w:rsid w:val="00564365"/>
    <w:rsid w:val="005B7F40"/>
    <w:rsid w:val="005C218F"/>
    <w:rsid w:val="005E04A3"/>
    <w:rsid w:val="00641809"/>
    <w:rsid w:val="00693807"/>
    <w:rsid w:val="006B2F59"/>
    <w:rsid w:val="006B382D"/>
    <w:rsid w:val="00734543"/>
    <w:rsid w:val="0077487D"/>
    <w:rsid w:val="00814807"/>
    <w:rsid w:val="00857A67"/>
    <w:rsid w:val="008B3808"/>
    <w:rsid w:val="0094329F"/>
    <w:rsid w:val="00963D37"/>
    <w:rsid w:val="009740D1"/>
    <w:rsid w:val="00976DE3"/>
    <w:rsid w:val="009D08F3"/>
    <w:rsid w:val="00A13599"/>
    <w:rsid w:val="00A368E8"/>
    <w:rsid w:val="00A40F74"/>
    <w:rsid w:val="00AA1240"/>
    <w:rsid w:val="00AC52A8"/>
    <w:rsid w:val="00B21AB1"/>
    <w:rsid w:val="00B53522"/>
    <w:rsid w:val="00BE7096"/>
    <w:rsid w:val="00BE7165"/>
    <w:rsid w:val="00C45919"/>
    <w:rsid w:val="00C81ADB"/>
    <w:rsid w:val="00C91569"/>
    <w:rsid w:val="00CC43C8"/>
    <w:rsid w:val="00CE3337"/>
    <w:rsid w:val="00CF10FA"/>
    <w:rsid w:val="00CF4CF2"/>
    <w:rsid w:val="00D1561C"/>
    <w:rsid w:val="00D24122"/>
    <w:rsid w:val="00D27BCA"/>
    <w:rsid w:val="00D7515B"/>
    <w:rsid w:val="00D97544"/>
    <w:rsid w:val="00E22F18"/>
    <w:rsid w:val="00E607AB"/>
    <w:rsid w:val="00E62134"/>
    <w:rsid w:val="00E62CBD"/>
    <w:rsid w:val="00E63953"/>
    <w:rsid w:val="00EA3E8F"/>
    <w:rsid w:val="00ED1E91"/>
    <w:rsid w:val="00EE455F"/>
    <w:rsid w:val="00F15D75"/>
    <w:rsid w:val="00F311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149C09A-1548-4E10-90FF-F566D38A6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ind w:right="357"/>
        <w:jc w:val="right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ED1E91"/>
    <w:pPr>
      <w:ind w:left="720"/>
      <w:contextualSpacing/>
    </w:pPr>
  </w:style>
  <w:style w:type="paragraph" w:customStyle="1" w:styleId="Style1">
    <w:name w:val="Style 1"/>
    <w:basedOn w:val="Norml"/>
    <w:rsid w:val="00052F3E"/>
    <w:pPr>
      <w:widowControl w:val="0"/>
      <w:ind w:right="0"/>
      <w:jc w:val="left"/>
    </w:pPr>
    <w:rPr>
      <w:rFonts w:ascii="Times New Roman" w:eastAsia="Times New Roman" w:hAnsi="Times New Roman" w:cs="Times New Roman"/>
      <w:color w:val="000000"/>
      <w:sz w:val="20"/>
      <w:szCs w:val="20"/>
      <w:lang w:eastAsia="hu-HU"/>
    </w:rPr>
  </w:style>
  <w:style w:type="table" w:customStyle="1" w:styleId="Rcsostblzat4">
    <w:name w:val="Rácsos táblázat4"/>
    <w:basedOn w:val="Normltblzat"/>
    <w:next w:val="Rcsostblzat"/>
    <w:uiPriority w:val="59"/>
    <w:rsid w:val="00F311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Rcsostblzat">
    <w:name w:val="Table Grid"/>
    <w:basedOn w:val="Normltblzat"/>
    <w:uiPriority w:val="59"/>
    <w:rsid w:val="00F311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incstrkz">
    <w:name w:val="No Spacing"/>
    <w:uiPriority w:val="1"/>
    <w:qFormat/>
    <w:rsid w:val="00F311FE"/>
  </w:style>
  <w:style w:type="paragraph" w:styleId="Buborkszveg">
    <w:name w:val="Balloon Text"/>
    <w:basedOn w:val="Norml"/>
    <w:link w:val="BuborkszvegChar"/>
    <w:uiPriority w:val="99"/>
    <w:semiHidden/>
    <w:unhideWhenUsed/>
    <w:rsid w:val="00EA3E8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A3E8F"/>
    <w:rPr>
      <w:rFonts w:ascii="Tahoma" w:hAnsi="Tahoma" w:cs="Tahoma"/>
      <w:sz w:val="16"/>
      <w:szCs w:val="16"/>
    </w:rPr>
  </w:style>
  <w:style w:type="paragraph" w:customStyle="1" w:styleId="Pa5">
    <w:name w:val="Pa5"/>
    <w:basedOn w:val="Norml"/>
    <w:next w:val="Norml"/>
    <w:uiPriority w:val="99"/>
    <w:rsid w:val="00A40F74"/>
    <w:pPr>
      <w:autoSpaceDE w:val="0"/>
      <w:autoSpaceDN w:val="0"/>
      <w:adjustRightInd w:val="0"/>
      <w:spacing w:line="231" w:lineRule="atLeast"/>
      <w:ind w:right="0"/>
      <w:jc w:val="left"/>
    </w:pPr>
    <w:rPr>
      <w:rFonts w:ascii="Garamond" w:hAnsi="Garamond"/>
      <w:sz w:val="24"/>
      <w:szCs w:val="24"/>
    </w:rPr>
  </w:style>
  <w:style w:type="paragraph" w:customStyle="1" w:styleId="Pa4">
    <w:name w:val="Pa4"/>
    <w:basedOn w:val="Norml"/>
    <w:next w:val="Norml"/>
    <w:uiPriority w:val="99"/>
    <w:rsid w:val="00A40F74"/>
    <w:pPr>
      <w:autoSpaceDE w:val="0"/>
      <w:autoSpaceDN w:val="0"/>
      <w:adjustRightInd w:val="0"/>
      <w:spacing w:line="231" w:lineRule="atLeast"/>
      <w:ind w:right="0"/>
      <w:jc w:val="left"/>
    </w:pPr>
    <w:rPr>
      <w:rFonts w:ascii="Garamond" w:hAnsi="Garamond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2452</Words>
  <Characters>16925</Characters>
  <Application>Microsoft Office Word</Application>
  <DocSecurity>0</DocSecurity>
  <Lines>141</Lines>
  <Paragraphs>38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Felhasználó</dc:creator>
  <cp:lastModifiedBy>Kenézlő Önkormányzat</cp:lastModifiedBy>
  <cp:revision>3</cp:revision>
  <cp:lastPrinted>2017-12-08T05:45:00Z</cp:lastPrinted>
  <dcterms:created xsi:type="dcterms:W3CDTF">2017-12-28T08:44:00Z</dcterms:created>
  <dcterms:modified xsi:type="dcterms:W3CDTF">2017-12-28T09:14:00Z</dcterms:modified>
</cp:coreProperties>
</file>