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24" w:rsidRPr="004267E3" w:rsidRDefault="00444224" w:rsidP="00444224">
      <w:pPr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4. MELLÉKLET    Nagyhajmás Község</w:t>
      </w:r>
      <w:r w:rsidRPr="004267E3">
        <w:rPr>
          <w:rFonts w:asciiTheme="minorHAnsi" w:hAnsiTheme="minorHAnsi" w:cstheme="minorHAnsi"/>
          <w:b/>
          <w:bCs/>
        </w:rPr>
        <w:t xml:space="preserve"> Önkormányzat</w:t>
      </w:r>
      <w:r>
        <w:rPr>
          <w:rFonts w:asciiTheme="minorHAnsi" w:hAnsiTheme="minorHAnsi" w:cstheme="minorHAnsi"/>
          <w:b/>
          <w:bCs/>
        </w:rPr>
        <w:t>a</w:t>
      </w:r>
      <w:r w:rsidRPr="004267E3">
        <w:rPr>
          <w:rFonts w:asciiTheme="minorHAnsi" w:hAnsiTheme="minorHAnsi" w:cstheme="minorHAnsi"/>
          <w:b/>
          <w:bCs/>
        </w:rPr>
        <w:t xml:space="preserve"> Képviselőtestülete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spacing w:val="-1"/>
        </w:rPr>
        <w:t>1/2020. (I. 16.) önkormányzati</w:t>
      </w:r>
      <w:r>
        <w:rPr>
          <w:rFonts w:asciiTheme="minorHAnsi" w:hAnsiTheme="minorHAnsi" w:cstheme="minorHAnsi"/>
          <w:b/>
          <w:bCs/>
        </w:rPr>
        <w:t xml:space="preserve"> rendeletéhez</w:t>
      </w:r>
    </w:p>
    <w:p w:rsidR="00444224" w:rsidRPr="00F96B0A" w:rsidRDefault="00444224" w:rsidP="00444224">
      <w:pPr>
        <w:spacing w:after="120"/>
        <w:jc w:val="right"/>
        <w:rPr>
          <w:rFonts w:cs="Arial"/>
          <w:b/>
        </w:rPr>
      </w:pPr>
      <w:r w:rsidRPr="00F96B0A">
        <w:rPr>
          <w:b/>
        </w:rPr>
        <w:t>Gazdasági célú haszonállat tartásra szolgáló, valamint trágyatároló építmény telepítési távolsága</w:t>
      </w:r>
    </w:p>
    <w:p w:rsidR="00444224" w:rsidRDefault="00444224" w:rsidP="00444224"/>
    <w:tbl>
      <w:tblPr>
        <w:tblStyle w:val="Rcsostblzat"/>
        <w:tblW w:w="9606" w:type="dxa"/>
        <w:tblInd w:w="-289" w:type="dxa"/>
        <w:tblLook w:val="04A0" w:firstRow="1" w:lastRow="0" w:firstColumn="1" w:lastColumn="0" w:noHBand="0" w:noVBand="1"/>
      </w:tblPr>
      <w:tblGrid>
        <w:gridCol w:w="2862"/>
        <w:gridCol w:w="1310"/>
        <w:gridCol w:w="1791"/>
        <w:gridCol w:w="1909"/>
        <w:gridCol w:w="1734"/>
      </w:tblGrid>
      <w:tr w:rsidR="00444224" w:rsidTr="00984071">
        <w:tc>
          <w:tcPr>
            <w:tcW w:w="2862" w:type="dxa"/>
            <w:vMerge w:val="restart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310" w:type="dxa"/>
            <w:vMerge w:val="restart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állatlétszám</w:t>
            </w:r>
          </w:p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(db)</w:t>
            </w:r>
          </w:p>
        </w:tc>
        <w:tc>
          <w:tcPr>
            <w:tcW w:w="5434" w:type="dxa"/>
            <w:gridSpan w:val="3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 w:rsidRPr="00A37682">
              <w:t>Állattartó építmény távolsága (méter)</w:t>
            </w:r>
          </w:p>
        </w:tc>
      </w:tr>
      <w:tr w:rsidR="00444224" w:rsidTr="00984071">
        <w:tc>
          <w:tcPr>
            <w:tcW w:w="2862" w:type="dxa"/>
            <w:vMerge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</w:p>
        </w:tc>
        <w:tc>
          <w:tcPr>
            <w:tcW w:w="3700" w:type="dxa"/>
            <w:gridSpan w:val="2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minden állandó emberi tartózkodásra szolgáló épülettől (kivétel saját tulajdonú lakó- és gazdasági épület), valamint kúttól</w:t>
            </w:r>
          </w:p>
        </w:tc>
        <w:tc>
          <w:tcPr>
            <w:tcW w:w="1734" w:type="dxa"/>
            <w:vMerge w:val="restart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 w:rsidRPr="00A37682">
              <w:t>oktatási, egészségügyi, szociális funkciójú épületektől</w:t>
            </w:r>
          </w:p>
        </w:tc>
      </w:tr>
      <w:tr w:rsidR="00444224" w:rsidTr="00984071">
        <w:tc>
          <w:tcPr>
            <w:tcW w:w="2862" w:type="dxa"/>
            <w:vMerge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310" w:type="dxa"/>
            <w:vMerge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791" w:type="dxa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  <w:r>
              <w:t>állattartó épület</w:t>
            </w:r>
          </w:p>
        </w:tc>
        <w:tc>
          <w:tcPr>
            <w:tcW w:w="1909" w:type="dxa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  <w:r w:rsidRPr="00A37682">
              <w:t>trágyatároló</w:t>
            </w:r>
          </w:p>
        </w:tc>
        <w:tc>
          <w:tcPr>
            <w:tcW w:w="1734" w:type="dxa"/>
            <w:vMerge/>
          </w:tcPr>
          <w:p w:rsidR="00444224" w:rsidRPr="00A37682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</w:tr>
      <w:tr w:rsidR="00444224" w:rsidTr="00984071">
        <w:tc>
          <w:tcPr>
            <w:tcW w:w="2862" w:type="dxa"/>
            <w:vMerge w:val="restart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  <w:r>
              <w:t xml:space="preserve">20kg-nál kisebb súlyú állat tartására szolgáló épület, ill. az ehhez tartozó trágyatároló esetén (baromfi, </w:t>
            </w:r>
            <w:proofErr w:type="gramStart"/>
            <w:r>
              <w:t>nyúl,</w:t>
            </w:r>
            <w:proofErr w:type="gramEnd"/>
            <w:r>
              <w:t xml:space="preserve"> stb.)</w:t>
            </w:r>
          </w:p>
        </w:tc>
        <w:tc>
          <w:tcPr>
            <w:tcW w:w="1310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-100</w:t>
            </w:r>
          </w:p>
        </w:tc>
        <w:tc>
          <w:tcPr>
            <w:tcW w:w="1791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15</w:t>
            </w:r>
          </w:p>
        </w:tc>
        <w:tc>
          <w:tcPr>
            <w:tcW w:w="1909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30</w:t>
            </w:r>
          </w:p>
        </w:tc>
        <w:tc>
          <w:tcPr>
            <w:tcW w:w="1734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50</w:t>
            </w:r>
          </w:p>
        </w:tc>
      </w:tr>
      <w:tr w:rsidR="00444224" w:rsidTr="00984071">
        <w:tc>
          <w:tcPr>
            <w:tcW w:w="2862" w:type="dxa"/>
            <w:vMerge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310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101-2000</w:t>
            </w:r>
          </w:p>
        </w:tc>
        <w:tc>
          <w:tcPr>
            <w:tcW w:w="1791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50</w:t>
            </w:r>
          </w:p>
        </w:tc>
        <w:tc>
          <w:tcPr>
            <w:tcW w:w="1909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100</w:t>
            </w:r>
          </w:p>
        </w:tc>
        <w:tc>
          <w:tcPr>
            <w:tcW w:w="1734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100</w:t>
            </w:r>
          </w:p>
        </w:tc>
      </w:tr>
      <w:tr w:rsidR="00444224" w:rsidTr="00984071">
        <w:tc>
          <w:tcPr>
            <w:tcW w:w="2862" w:type="dxa"/>
            <w:vMerge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310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2000 fölött</w:t>
            </w:r>
          </w:p>
        </w:tc>
        <w:tc>
          <w:tcPr>
            <w:tcW w:w="1791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100</w:t>
            </w:r>
          </w:p>
        </w:tc>
        <w:tc>
          <w:tcPr>
            <w:tcW w:w="1909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200</w:t>
            </w:r>
          </w:p>
        </w:tc>
        <w:tc>
          <w:tcPr>
            <w:tcW w:w="1734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300</w:t>
            </w:r>
          </w:p>
        </w:tc>
      </w:tr>
      <w:tr w:rsidR="00444224" w:rsidTr="00984071">
        <w:tc>
          <w:tcPr>
            <w:tcW w:w="2862" w:type="dxa"/>
            <w:vMerge w:val="restart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  <w:r>
              <w:t xml:space="preserve">20-200kg közötti súlyú állat tartására szolgáló épület, ill. az ehhez tartozó trágyatároló esetén (kecske, juh, </w:t>
            </w:r>
            <w:proofErr w:type="gramStart"/>
            <w:r>
              <w:t>sertés,</w:t>
            </w:r>
            <w:proofErr w:type="gramEnd"/>
            <w:r>
              <w:t xml:space="preserve"> stb.)</w:t>
            </w:r>
          </w:p>
        </w:tc>
        <w:tc>
          <w:tcPr>
            <w:tcW w:w="1310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1-10</w:t>
            </w:r>
          </w:p>
        </w:tc>
        <w:tc>
          <w:tcPr>
            <w:tcW w:w="1791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15</w:t>
            </w:r>
          </w:p>
        </w:tc>
        <w:tc>
          <w:tcPr>
            <w:tcW w:w="1909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30</w:t>
            </w:r>
          </w:p>
        </w:tc>
        <w:tc>
          <w:tcPr>
            <w:tcW w:w="1734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50</w:t>
            </w:r>
          </w:p>
        </w:tc>
      </w:tr>
      <w:tr w:rsidR="00444224" w:rsidTr="00984071">
        <w:tc>
          <w:tcPr>
            <w:tcW w:w="2862" w:type="dxa"/>
            <w:vMerge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310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11-50</w:t>
            </w:r>
          </w:p>
        </w:tc>
        <w:tc>
          <w:tcPr>
            <w:tcW w:w="1791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50</w:t>
            </w:r>
          </w:p>
        </w:tc>
        <w:tc>
          <w:tcPr>
            <w:tcW w:w="1909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100</w:t>
            </w:r>
          </w:p>
        </w:tc>
        <w:tc>
          <w:tcPr>
            <w:tcW w:w="1734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100</w:t>
            </w:r>
          </w:p>
        </w:tc>
      </w:tr>
      <w:tr w:rsidR="00444224" w:rsidTr="00984071">
        <w:tc>
          <w:tcPr>
            <w:tcW w:w="2862" w:type="dxa"/>
            <w:vMerge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310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50-</w:t>
            </w:r>
          </w:p>
        </w:tc>
        <w:tc>
          <w:tcPr>
            <w:tcW w:w="1791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200</w:t>
            </w:r>
          </w:p>
        </w:tc>
        <w:tc>
          <w:tcPr>
            <w:tcW w:w="1909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200</w:t>
            </w:r>
          </w:p>
        </w:tc>
        <w:tc>
          <w:tcPr>
            <w:tcW w:w="1734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300</w:t>
            </w:r>
          </w:p>
        </w:tc>
      </w:tr>
      <w:tr w:rsidR="00444224" w:rsidTr="00984071">
        <w:tc>
          <w:tcPr>
            <w:tcW w:w="2862" w:type="dxa"/>
            <w:vMerge w:val="restart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  <w:r>
              <w:t xml:space="preserve">200kg-nál nagyobb súlyú állat tartására szolgáló épület, ill. az ehhez tartozó trágyatároló </w:t>
            </w:r>
            <w:proofErr w:type="gramStart"/>
            <w:r>
              <w:t>esetén  (</w:t>
            </w:r>
            <w:proofErr w:type="gramEnd"/>
            <w:r>
              <w:t xml:space="preserve">szarvasmarha, </w:t>
            </w:r>
            <w:proofErr w:type="spellStart"/>
            <w:r>
              <w:t>ló,stb</w:t>
            </w:r>
            <w:proofErr w:type="spellEnd"/>
            <w:r>
              <w:t>.)</w:t>
            </w:r>
          </w:p>
        </w:tc>
        <w:tc>
          <w:tcPr>
            <w:tcW w:w="1310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1-5</w:t>
            </w:r>
          </w:p>
        </w:tc>
        <w:tc>
          <w:tcPr>
            <w:tcW w:w="1791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15</w:t>
            </w:r>
          </w:p>
        </w:tc>
        <w:tc>
          <w:tcPr>
            <w:tcW w:w="1909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30</w:t>
            </w:r>
          </w:p>
        </w:tc>
        <w:tc>
          <w:tcPr>
            <w:tcW w:w="1734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50</w:t>
            </w:r>
          </w:p>
        </w:tc>
      </w:tr>
      <w:tr w:rsidR="00444224" w:rsidTr="00984071">
        <w:tc>
          <w:tcPr>
            <w:tcW w:w="2862" w:type="dxa"/>
            <w:vMerge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310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6-30</w:t>
            </w:r>
          </w:p>
        </w:tc>
        <w:tc>
          <w:tcPr>
            <w:tcW w:w="1791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50</w:t>
            </w:r>
          </w:p>
        </w:tc>
        <w:tc>
          <w:tcPr>
            <w:tcW w:w="1909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100</w:t>
            </w:r>
          </w:p>
        </w:tc>
        <w:tc>
          <w:tcPr>
            <w:tcW w:w="1734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100</w:t>
            </w:r>
          </w:p>
        </w:tc>
      </w:tr>
      <w:tr w:rsidR="00444224" w:rsidTr="00984071">
        <w:tc>
          <w:tcPr>
            <w:tcW w:w="2862" w:type="dxa"/>
            <w:vMerge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310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30-</w:t>
            </w:r>
          </w:p>
        </w:tc>
        <w:tc>
          <w:tcPr>
            <w:tcW w:w="1791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200</w:t>
            </w:r>
          </w:p>
        </w:tc>
        <w:tc>
          <w:tcPr>
            <w:tcW w:w="1909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200</w:t>
            </w:r>
          </w:p>
        </w:tc>
        <w:tc>
          <w:tcPr>
            <w:tcW w:w="1734" w:type="dxa"/>
            <w:vAlign w:val="center"/>
          </w:tcPr>
          <w:p w:rsidR="00444224" w:rsidRDefault="00444224" w:rsidP="00984071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300</w:t>
            </w:r>
          </w:p>
        </w:tc>
      </w:tr>
    </w:tbl>
    <w:p w:rsidR="00444224" w:rsidRDefault="00444224" w:rsidP="00444224">
      <w:pPr>
        <w:tabs>
          <w:tab w:val="left" w:pos="2127"/>
        </w:tabs>
        <w:autoSpaceDE w:val="0"/>
        <w:autoSpaceDN w:val="0"/>
        <w:adjustRightInd w:val="0"/>
        <w:spacing w:after="120"/>
      </w:pPr>
    </w:p>
    <w:p w:rsidR="00444224" w:rsidRDefault="00444224" w:rsidP="00444224">
      <w:pPr>
        <w:tabs>
          <w:tab w:val="left" w:pos="2127"/>
        </w:tabs>
        <w:autoSpaceDE w:val="0"/>
        <w:autoSpaceDN w:val="0"/>
        <w:adjustRightInd w:val="0"/>
        <w:spacing w:after="120"/>
      </w:pPr>
    </w:p>
    <w:p w:rsidR="00444224" w:rsidRPr="00CC14E1" w:rsidRDefault="00444224" w:rsidP="00444224">
      <w:pPr>
        <w:spacing w:after="120"/>
      </w:pPr>
      <w:r w:rsidRPr="00CC14E1">
        <w:t>A tenyésztett állatokat kifejlett állapotban lévő súlyuk alapján kell a megfelelő kategóriába sorolni.</w:t>
      </w:r>
    </w:p>
    <w:p w:rsidR="000B1AEF" w:rsidRDefault="000B1AEF">
      <w:bookmarkStart w:id="0" w:name="_GoBack"/>
      <w:bookmarkEnd w:id="0"/>
    </w:p>
    <w:sectPr w:rsidR="000B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24"/>
    <w:rsid w:val="000B1AEF"/>
    <w:rsid w:val="0044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EE800-8DAE-49B5-90A2-3B7E54E7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422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444224"/>
    <w:rPr>
      <w:rFonts w:ascii="Calibri" w:eastAsia="Calibri" w:hAnsi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Morvay Klaudia</dc:creator>
  <cp:keywords/>
  <dc:description/>
  <cp:lastModifiedBy>Dr. Morvay Klaudia</cp:lastModifiedBy>
  <cp:revision>1</cp:revision>
  <dcterms:created xsi:type="dcterms:W3CDTF">2020-01-27T10:35:00Z</dcterms:created>
  <dcterms:modified xsi:type="dcterms:W3CDTF">2020-01-27T10:36:00Z</dcterms:modified>
</cp:coreProperties>
</file>