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CB" w:rsidRDefault="00092ACB" w:rsidP="00092ACB">
      <w:pPr>
        <w:spacing w:line="360" w:lineRule="auto"/>
        <w:jc w:val="right"/>
        <w:rPr>
          <w:rFonts w:ascii="Arial" w:hAnsi="Arial"/>
          <w:i/>
          <w:szCs w:val="24"/>
        </w:rPr>
      </w:pPr>
      <w:r>
        <w:rPr>
          <w:rFonts w:ascii="Arial" w:hAnsi="Arial"/>
          <w:i/>
          <w:szCs w:val="24"/>
        </w:rPr>
        <w:t>2. számú függelék 14/2018. (IX.28.) számú önkormányzati rendelethez</w:t>
      </w:r>
    </w:p>
    <w:p w:rsidR="00092ACB" w:rsidRDefault="00092ACB" w:rsidP="00092ACB">
      <w:pPr>
        <w:spacing w:after="0" w:line="240" w:lineRule="auto"/>
        <w:jc w:val="center"/>
        <w:rPr>
          <w:rFonts w:ascii="Arial" w:hAnsi="Arial"/>
          <w:szCs w:val="24"/>
        </w:rPr>
      </w:pPr>
    </w:p>
    <w:p w:rsidR="00092ACB" w:rsidRPr="009C4D7E" w:rsidRDefault="00092ACB" w:rsidP="00092ACB">
      <w:pPr>
        <w:pStyle w:val="Szvegtrzs"/>
        <w:tabs>
          <w:tab w:val="left" w:pos="5670"/>
        </w:tabs>
        <w:rPr>
          <w:rFonts w:asciiTheme="minorHAnsi" w:hAnsiTheme="minorHAnsi" w:cs="Calibri"/>
          <w:iCs/>
          <w:sz w:val="22"/>
          <w:szCs w:val="22"/>
        </w:rPr>
      </w:pPr>
      <w:r w:rsidRPr="009C4D7E">
        <w:rPr>
          <w:rFonts w:asciiTheme="minorHAnsi" w:hAnsiTheme="minorHAnsi" w:cs="Calibri"/>
          <w:iCs/>
          <w:sz w:val="22"/>
          <w:szCs w:val="22"/>
        </w:rPr>
        <w:t xml:space="preserve">A tájidegen, agresszíven gyomosító, </w:t>
      </w:r>
      <w:proofErr w:type="spellStart"/>
      <w:r w:rsidRPr="009C4D7E">
        <w:rPr>
          <w:rFonts w:asciiTheme="minorHAnsi" w:hAnsiTheme="minorHAnsi" w:cs="Calibri"/>
          <w:iCs/>
          <w:sz w:val="22"/>
          <w:szCs w:val="22"/>
        </w:rPr>
        <w:t>invazív</w:t>
      </w:r>
      <w:proofErr w:type="spellEnd"/>
      <w:r w:rsidRPr="009C4D7E">
        <w:rPr>
          <w:rFonts w:asciiTheme="minorHAnsi" w:hAnsiTheme="minorHAnsi" w:cs="Calibri"/>
          <w:iCs/>
          <w:sz w:val="22"/>
          <w:szCs w:val="22"/>
        </w:rPr>
        <w:t>, így nem telepíthető növényfajok listája a következő:</w:t>
      </w:r>
    </w:p>
    <w:p w:rsidR="00092ACB" w:rsidRPr="009C4D7E" w:rsidRDefault="00092ACB" w:rsidP="00092ACB">
      <w:pPr>
        <w:rPr>
          <w:rFonts w:cs="Calibri"/>
          <w:i/>
          <w:iCs/>
        </w:rPr>
      </w:pP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fehér akác (</w:t>
      </w:r>
      <w:proofErr w:type="spellStart"/>
      <w:r w:rsidRPr="008D7AD9">
        <w:rPr>
          <w:iCs/>
        </w:rPr>
        <w:t>Robiniapseudoacacia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mirigyes bálványfa (</w:t>
      </w:r>
      <w:proofErr w:type="spellStart"/>
      <w:r w:rsidRPr="008D7AD9">
        <w:rPr>
          <w:iCs/>
        </w:rPr>
        <w:t>Ailanthusaltissima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keskenylevelű ezüstfa (</w:t>
      </w:r>
      <w:proofErr w:type="spellStart"/>
      <w:r w:rsidRPr="008D7AD9">
        <w:rPr>
          <w:iCs/>
        </w:rPr>
        <w:t>Eleagnusangustifolia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zöld juhar (</w:t>
      </w:r>
      <w:proofErr w:type="spellStart"/>
      <w:r w:rsidRPr="008D7AD9">
        <w:rPr>
          <w:iCs/>
        </w:rPr>
        <w:t>Acernegundo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amerikai kőris (</w:t>
      </w:r>
      <w:proofErr w:type="spellStart"/>
      <w:r w:rsidRPr="008D7AD9">
        <w:rPr>
          <w:iCs/>
        </w:rPr>
        <w:t>Fraxinuspennsylvanica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kései meggy (</w:t>
      </w:r>
      <w:proofErr w:type="spellStart"/>
      <w:r w:rsidRPr="008D7AD9">
        <w:rPr>
          <w:iCs/>
        </w:rPr>
        <w:t>Prunusserotina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nyár (</w:t>
      </w:r>
      <w:proofErr w:type="spellStart"/>
      <w:r w:rsidRPr="008D7AD9">
        <w:rPr>
          <w:iCs/>
        </w:rPr>
        <w:t>Populus</w:t>
      </w:r>
      <w:proofErr w:type="spellEnd"/>
      <w:r w:rsidRPr="008D7AD9">
        <w:rPr>
          <w:iCs/>
        </w:rPr>
        <w:t xml:space="preserve"> x </w:t>
      </w:r>
      <w:proofErr w:type="spellStart"/>
      <w:r w:rsidRPr="008D7AD9">
        <w:rPr>
          <w:iCs/>
        </w:rPr>
        <w:t>canadensis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nyugati ostorfa (</w:t>
      </w:r>
      <w:proofErr w:type="spellStart"/>
      <w:r w:rsidRPr="008D7AD9">
        <w:rPr>
          <w:iCs/>
        </w:rPr>
        <w:t>Celtisoccidentalis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cserjés gyalogakác (</w:t>
      </w:r>
      <w:proofErr w:type="spellStart"/>
      <w:r w:rsidRPr="008D7AD9">
        <w:rPr>
          <w:iCs/>
        </w:rPr>
        <w:t>Amorphafruticosa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kisvirágú nebáncsvirág (</w:t>
      </w:r>
      <w:proofErr w:type="spellStart"/>
      <w:r w:rsidRPr="008D7AD9">
        <w:rPr>
          <w:iCs/>
        </w:rPr>
        <w:t>Impatiensparviflora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bíbor nebáncsvirág (</w:t>
      </w:r>
      <w:proofErr w:type="spellStart"/>
      <w:r w:rsidRPr="008D7AD9">
        <w:rPr>
          <w:iCs/>
        </w:rPr>
        <w:t>Impatiensgrandiflora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japánkeserűfű-fajok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Fallopiaspp</w:t>
      </w:r>
      <w:proofErr w:type="spellEnd"/>
      <w:r w:rsidRPr="008D7AD9">
        <w:rPr>
          <w:iCs/>
        </w:rPr>
        <w:t>.)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magas aranyvessző (</w:t>
      </w:r>
      <w:proofErr w:type="spellStart"/>
      <w:r w:rsidRPr="008D7AD9">
        <w:rPr>
          <w:iCs/>
        </w:rPr>
        <w:t>Solidagogigantea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aranyvessző (</w:t>
      </w:r>
      <w:proofErr w:type="spellStart"/>
      <w:r w:rsidRPr="008D7AD9">
        <w:rPr>
          <w:iCs/>
        </w:rPr>
        <w:t>Solidagocanadensis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közönséges selyemkóró (</w:t>
      </w:r>
      <w:proofErr w:type="spellStart"/>
      <w:r w:rsidRPr="008D7AD9">
        <w:rPr>
          <w:iCs/>
        </w:rPr>
        <w:t>Asclepiassyriaca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ürömlevelű parlagfű (</w:t>
      </w:r>
      <w:proofErr w:type="spellStart"/>
      <w:r w:rsidRPr="008D7AD9">
        <w:rPr>
          <w:iCs/>
        </w:rPr>
        <w:t>Ambrosiaartemisiiflora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arany ribiszke (</w:t>
      </w:r>
      <w:proofErr w:type="spellStart"/>
      <w:r w:rsidRPr="008D7AD9">
        <w:rPr>
          <w:iCs/>
        </w:rPr>
        <w:t>Ribesaureum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adventív szőlőfajok (</w:t>
      </w:r>
      <w:proofErr w:type="spellStart"/>
      <w:r w:rsidRPr="008D7AD9">
        <w:rPr>
          <w:iCs/>
        </w:rPr>
        <w:t>Vitis-hibridek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vadszőlőfajok (</w:t>
      </w:r>
      <w:proofErr w:type="spellStart"/>
      <w:r w:rsidRPr="008D7AD9">
        <w:rPr>
          <w:iCs/>
        </w:rPr>
        <w:t>Parthenocissusspp</w:t>
      </w:r>
      <w:proofErr w:type="spellEnd"/>
      <w:r w:rsidRPr="008D7AD9">
        <w:rPr>
          <w:iCs/>
        </w:rPr>
        <w:t>.)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süntök (</w:t>
      </w:r>
      <w:proofErr w:type="spellStart"/>
      <w:r w:rsidRPr="008D7AD9">
        <w:rPr>
          <w:iCs/>
        </w:rPr>
        <w:t>Echinocystislobata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észak-amerikai őszirózsák (</w:t>
      </w:r>
      <w:proofErr w:type="spellStart"/>
      <w:r w:rsidRPr="008D7AD9">
        <w:rPr>
          <w:iCs/>
        </w:rPr>
        <w:t>Asterspp</w:t>
      </w:r>
      <w:proofErr w:type="spellEnd"/>
      <w:r w:rsidRPr="008D7AD9">
        <w:rPr>
          <w:iCs/>
        </w:rPr>
        <w:t>.)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magas kúpvirág (</w:t>
      </w:r>
      <w:proofErr w:type="spellStart"/>
      <w:r w:rsidRPr="008D7AD9">
        <w:rPr>
          <w:iCs/>
        </w:rPr>
        <w:t>Rudbeckialaciniata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vadcsicsóka (</w:t>
      </w:r>
      <w:proofErr w:type="spellStart"/>
      <w:r w:rsidRPr="008D7AD9">
        <w:rPr>
          <w:iCs/>
        </w:rPr>
        <w:t>Helianthustuberosus</w:t>
      </w:r>
      <w:proofErr w:type="spellEnd"/>
      <w:r w:rsidRPr="008D7AD9">
        <w:rPr>
          <w:iCs/>
        </w:rPr>
        <w:t xml:space="preserve"> s. l.) 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olasz szerbtövis (</w:t>
      </w:r>
      <w:proofErr w:type="spellStart"/>
      <w:r w:rsidRPr="008D7AD9">
        <w:rPr>
          <w:iCs/>
        </w:rPr>
        <w:t>Xanthiumstrumaiumsubsp</w:t>
      </w:r>
      <w:proofErr w:type="spellEnd"/>
      <w:r w:rsidRPr="008D7AD9">
        <w:rPr>
          <w:iCs/>
        </w:rPr>
        <w:t xml:space="preserve">. </w:t>
      </w:r>
      <w:proofErr w:type="spellStart"/>
      <w:r w:rsidRPr="008D7AD9">
        <w:rPr>
          <w:iCs/>
        </w:rPr>
        <w:t>italicum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amerikai karmazsinbogyó/amerikai alkörmös (</w:t>
      </w:r>
      <w:proofErr w:type="spellStart"/>
      <w:r w:rsidRPr="008D7AD9">
        <w:rPr>
          <w:iCs/>
        </w:rPr>
        <w:t>Phytholaccaamericana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kínai karmazsinbogyó/kínai alkörmös (</w:t>
      </w:r>
      <w:proofErr w:type="spellStart"/>
      <w:r w:rsidRPr="008D7AD9">
        <w:rPr>
          <w:iCs/>
        </w:rPr>
        <w:t>Phytholaccaesculenta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japán komló (</w:t>
      </w:r>
      <w:proofErr w:type="spellStart"/>
      <w:r w:rsidRPr="008D7AD9">
        <w:rPr>
          <w:iCs/>
        </w:rPr>
        <w:t>Humulusjaponicus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átoktüske (</w:t>
      </w:r>
      <w:proofErr w:type="spellStart"/>
      <w:r w:rsidRPr="008D7AD9">
        <w:rPr>
          <w:iCs/>
        </w:rPr>
        <w:t>Cenchrusincertus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nem hazai tündérrózsa fajok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kanadai átokhínár (</w:t>
      </w:r>
      <w:proofErr w:type="spellStart"/>
      <w:r w:rsidRPr="008D7AD9">
        <w:rPr>
          <w:iCs/>
        </w:rPr>
        <w:t>Elodeacanadensis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aprólevelű átokhínár/vékonylevelű átokhínár (</w:t>
      </w:r>
      <w:proofErr w:type="spellStart"/>
      <w:r w:rsidRPr="008D7AD9">
        <w:rPr>
          <w:iCs/>
        </w:rPr>
        <w:t>Elodeanuttallii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moszatpáfrányfajok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Azollamexicana</w:t>
      </w:r>
      <w:proofErr w:type="spellEnd"/>
      <w:r w:rsidRPr="008D7AD9">
        <w:rPr>
          <w:iCs/>
        </w:rPr>
        <w:t xml:space="preserve">, </w:t>
      </w:r>
      <w:proofErr w:type="spellStart"/>
      <w:r w:rsidRPr="008D7AD9">
        <w:rPr>
          <w:iCs/>
        </w:rPr>
        <w:t>Azollafiliculoides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borfa/ tengerparti seprűcserje (</w:t>
      </w:r>
      <w:proofErr w:type="spellStart"/>
      <w:r w:rsidRPr="008D7AD9">
        <w:rPr>
          <w:iCs/>
        </w:rPr>
        <w:t>Baccharishalimifolia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karolinai</w:t>
      </w:r>
      <w:proofErr w:type="spellEnd"/>
      <w:r w:rsidRPr="008D7AD9">
        <w:rPr>
          <w:iCs/>
        </w:rPr>
        <w:t xml:space="preserve"> tündérhínár (</w:t>
      </w:r>
      <w:proofErr w:type="spellStart"/>
      <w:r w:rsidRPr="008D7AD9">
        <w:rPr>
          <w:iCs/>
        </w:rPr>
        <w:t>Cabombacaroliniana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 xml:space="preserve">közönséges </w:t>
      </w:r>
      <w:proofErr w:type="spellStart"/>
      <w:r w:rsidRPr="008D7AD9">
        <w:rPr>
          <w:iCs/>
        </w:rPr>
        <w:t>vízijácint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Eichhorniacrassipes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perzsa medvetalp (</w:t>
      </w:r>
      <w:proofErr w:type="spellStart"/>
      <w:r w:rsidRPr="008D7AD9">
        <w:rPr>
          <w:iCs/>
        </w:rPr>
        <w:t>Heracleumpersicum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kaukázusi medvetalp (</w:t>
      </w:r>
      <w:proofErr w:type="spellStart"/>
      <w:r w:rsidRPr="008D7AD9">
        <w:rPr>
          <w:iCs/>
        </w:rPr>
        <w:t>Heracleummantegazzianum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Szosznovszkij-medvetalp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Heracleumsosnowskyi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hévízi gázló (</w:t>
      </w:r>
      <w:proofErr w:type="spellStart"/>
      <w:r w:rsidRPr="008D7AD9">
        <w:rPr>
          <w:iCs/>
        </w:rPr>
        <w:t>Hydrocotyleranunculoides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nagy fodros-átokhínár (</w:t>
      </w:r>
      <w:proofErr w:type="spellStart"/>
      <w:r w:rsidRPr="008D7AD9">
        <w:rPr>
          <w:iCs/>
        </w:rPr>
        <w:t>Lagarosiphon</w:t>
      </w:r>
      <w:proofErr w:type="spellEnd"/>
      <w:r w:rsidRPr="008D7AD9">
        <w:rPr>
          <w:iCs/>
        </w:rPr>
        <w:t xml:space="preserve"> major)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nagyvirágú tóalma (</w:t>
      </w:r>
      <w:proofErr w:type="spellStart"/>
      <w:r w:rsidRPr="008D7AD9">
        <w:rPr>
          <w:iCs/>
        </w:rPr>
        <w:t>Ludwigiagrandiflora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sárgavirágú tóalma (</w:t>
      </w:r>
      <w:proofErr w:type="spellStart"/>
      <w:r w:rsidRPr="008D7AD9">
        <w:rPr>
          <w:iCs/>
        </w:rPr>
        <w:t>Ludwigiapeploides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sárga lápbuzogány (</w:t>
      </w:r>
      <w:proofErr w:type="spellStart"/>
      <w:r w:rsidRPr="008D7AD9">
        <w:rPr>
          <w:iCs/>
        </w:rPr>
        <w:t>Lysichitonamericanus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lastRenderedPageBreak/>
        <w:t>közönséges süllőhínár (</w:t>
      </w:r>
      <w:proofErr w:type="spellStart"/>
      <w:r w:rsidRPr="008D7AD9">
        <w:rPr>
          <w:iCs/>
        </w:rPr>
        <w:t>Myriophyllumaquaticum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felemáslevelű süllőhínár (</w:t>
      </w:r>
      <w:proofErr w:type="spellStart"/>
      <w:r w:rsidRPr="008D7AD9">
        <w:rPr>
          <w:iCs/>
        </w:rPr>
        <w:t>Myriophyllumheterophyllum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keserű hamisüröm (</w:t>
      </w:r>
      <w:proofErr w:type="spellStart"/>
      <w:r w:rsidRPr="008D7AD9">
        <w:rPr>
          <w:iCs/>
        </w:rPr>
        <w:t>Partheniumhysterophorus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ördögfarok keserűfű (</w:t>
      </w:r>
      <w:proofErr w:type="spellStart"/>
      <w:r w:rsidRPr="008D7AD9">
        <w:rPr>
          <w:iCs/>
        </w:rPr>
        <w:t>Persicariaperfoliata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kudzu</w:t>
      </w:r>
      <w:proofErr w:type="spellEnd"/>
      <w:r w:rsidRPr="008D7AD9">
        <w:rPr>
          <w:iCs/>
        </w:rPr>
        <w:t xml:space="preserve"> nyílgyökér (</w:t>
      </w:r>
      <w:proofErr w:type="spellStart"/>
      <w:r w:rsidRPr="008D7AD9">
        <w:rPr>
          <w:iCs/>
        </w:rPr>
        <w:t>Puerariamontana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aligátorfű (</w:t>
      </w:r>
      <w:proofErr w:type="spellStart"/>
      <w:r w:rsidRPr="008D7AD9">
        <w:rPr>
          <w:iCs/>
        </w:rPr>
        <w:t>Alternantheraphiloxeroides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r w:rsidRPr="008D7AD9">
        <w:rPr>
          <w:iCs/>
        </w:rPr>
        <w:t>óriásrebarbara (</w:t>
      </w:r>
      <w:proofErr w:type="spellStart"/>
      <w:r w:rsidRPr="008D7AD9">
        <w:rPr>
          <w:iCs/>
        </w:rPr>
        <w:t>Gunneratinctoria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tollborzfű</w:t>
      </w:r>
      <w:proofErr w:type="spellEnd"/>
      <w:r w:rsidRPr="008D7AD9">
        <w:rPr>
          <w:iCs/>
        </w:rPr>
        <w:t xml:space="preserve"> (</w:t>
      </w:r>
      <w:proofErr w:type="spellStart"/>
      <w:r w:rsidRPr="008D7AD9">
        <w:rPr>
          <w:iCs/>
        </w:rPr>
        <w:t>Pennisetumsetaceum</w:t>
      </w:r>
      <w:proofErr w:type="spellEnd"/>
      <w:r w:rsidRPr="008D7AD9">
        <w:rPr>
          <w:iCs/>
        </w:rPr>
        <w:t>)</w:t>
      </w:r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Alternantheraphiloxeroides</w:t>
      </w:r>
      <w:proofErr w:type="spellEnd"/>
    </w:p>
    <w:p w:rsidR="00092ACB" w:rsidRPr="008D7AD9" w:rsidRDefault="00092ACB" w:rsidP="00092ACB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iCs/>
        </w:rPr>
      </w:pPr>
      <w:proofErr w:type="spellStart"/>
      <w:r w:rsidRPr="008D7AD9">
        <w:rPr>
          <w:iCs/>
        </w:rPr>
        <w:t>Microstegiumvimineum</w:t>
      </w:r>
      <w:proofErr w:type="spellEnd"/>
    </w:p>
    <w:p w:rsidR="00092ACB" w:rsidRDefault="00092ACB" w:rsidP="00092ACB">
      <w:pPr>
        <w:rPr>
          <w:iCs/>
        </w:rPr>
      </w:pPr>
    </w:p>
    <w:p w:rsidR="00092ACB" w:rsidRPr="00F753CA" w:rsidRDefault="00092ACB" w:rsidP="00092ACB">
      <w:pPr>
        <w:pStyle w:val="Listaszerbekezds"/>
        <w:rPr>
          <w:rFonts w:cs="Calibri"/>
          <w:highlight w:val="yellow"/>
        </w:rPr>
      </w:pPr>
    </w:p>
    <w:p w:rsidR="005A3B6E" w:rsidRDefault="005A3B6E">
      <w:bookmarkStart w:id="0" w:name="_GoBack"/>
      <w:bookmarkEnd w:id="0"/>
    </w:p>
    <w:sectPr w:rsidR="005A3B6E" w:rsidSect="00D509E9">
      <w:footerReference w:type="default" r:id="rId6"/>
      <w:pgSz w:w="11906" w:h="16838"/>
      <w:pgMar w:top="1418" w:right="1418" w:bottom="1418" w:left="1418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21" w:rsidRDefault="00092ACB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B3621" w:rsidRDefault="00092ACB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BC0"/>
    <w:multiLevelType w:val="hybridMultilevel"/>
    <w:tmpl w:val="D5584A64"/>
    <w:lvl w:ilvl="0" w:tplc="080C11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CB"/>
    <w:rsid w:val="00092ACB"/>
    <w:rsid w:val="005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AC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92AC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9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ACB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092ACB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092ACB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092ACB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AC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92AC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9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ACB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092ACB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092ACB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092ACB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2018-10-04T14:10:00Z</dcterms:created>
  <dcterms:modified xsi:type="dcterms:W3CDTF">2018-10-04T14:10:00Z</dcterms:modified>
</cp:coreProperties>
</file>