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99" w:rsidRPr="004371A1" w:rsidRDefault="00604199" w:rsidP="00604199">
      <w:pPr>
        <w:adjustRightInd w:val="0"/>
        <w:jc w:val="both"/>
      </w:pPr>
      <w:r w:rsidRPr="004371A1">
        <w:t>2. sz. melléklet</w:t>
      </w:r>
    </w:p>
    <w:p w:rsidR="00604199" w:rsidRPr="004371A1" w:rsidRDefault="00604199" w:rsidP="00604199">
      <w:pPr>
        <w:adjustRightInd w:val="0"/>
        <w:jc w:val="both"/>
        <w:rPr>
          <w:b/>
          <w:i/>
          <w:color w:val="0000FF"/>
        </w:rPr>
      </w:pP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A képviselői és hozzátartozói vagyonnyilatkozat nyilvántartásának, kezelésének és elle</w:t>
      </w:r>
      <w:r w:rsidRPr="004371A1">
        <w:rPr>
          <w:b/>
        </w:rPr>
        <w:t>n</w:t>
      </w:r>
      <w:r w:rsidRPr="004371A1">
        <w:rPr>
          <w:b/>
        </w:rPr>
        <w:t>őrzésének szabályairól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(SZMSZ 41. § (1) bekezdéséhez)</w:t>
      </w:r>
    </w:p>
    <w:p w:rsidR="00604199" w:rsidRPr="004371A1" w:rsidRDefault="00604199" w:rsidP="00604199">
      <w:pPr>
        <w:jc w:val="both"/>
        <w:rPr>
          <w:i/>
          <w:color w:val="FF00FF"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I.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A vagyonnyilatkozat benyújtásával kapcsolatos szabályok</w:t>
      </w: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</w:pPr>
      <w:r w:rsidRPr="004371A1">
        <w:t>1. A kitöltéskori állapotnak megfelelő adatok alapján kitöltött polgármesteri, képviselői és hozzátartozói vagyonnyilatkozat egy példányát az Pénzügyi és Vagyonnyilatkozat nyilvánta</w:t>
      </w:r>
      <w:r w:rsidRPr="004371A1">
        <w:t>r</w:t>
      </w:r>
      <w:r w:rsidRPr="004371A1">
        <w:t>tó és ellenőrző Bizottságnak címezve kell benyújtani „</w:t>
      </w:r>
      <w:proofErr w:type="gramStart"/>
      <w:r w:rsidRPr="004371A1">
        <w:t>A</w:t>
      </w:r>
      <w:proofErr w:type="gramEnd"/>
      <w:r w:rsidRPr="004371A1">
        <w:t xml:space="preserve"> helyi önkormányzati képviselők jo</w:t>
      </w:r>
      <w:r w:rsidRPr="004371A1">
        <w:t>g</w:t>
      </w:r>
      <w:r w:rsidRPr="004371A1">
        <w:t>állásának egyes kérdéseiről szóló módosított 2000. évi XCVI. Tv. (</w:t>
      </w:r>
      <w:proofErr w:type="gramStart"/>
      <w:r w:rsidRPr="004371A1">
        <w:t>továbbiakban :</w:t>
      </w:r>
      <w:proofErr w:type="gramEnd"/>
      <w:r w:rsidRPr="004371A1">
        <w:t xml:space="preserve"> </w:t>
      </w:r>
      <w:proofErr w:type="spellStart"/>
      <w:r w:rsidRPr="004371A1">
        <w:t>Ökjtv</w:t>
      </w:r>
      <w:proofErr w:type="spellEnd"/>
      <w:r w:rsidRPr="004371A1">
        <w:t>.) 10/A. §. (1) bekezdése” szerinti határidőben.</w:t>
      </w:r>
    </w:p>
    <w:p w:rsidR="00604199" w:rsidRPr="004371A1" w:rsidRDefault="00604199" w:rsidP="00604199">
      <w:pPr>
        <w:jc w:val="both"/>
      </w:pPr>
      <w:r w:rsidRPr="004371A1">
        <w:t>2. A vagyonnyilatkozatokat a Bizottság elnöke, vagy az általa kijelölt tagja veszi át és igaz</w:t>
      </w:r>
      <w:r w:rsidRPr="004371A1">
        <w:t>o</w:t>
      </w:r>
      <w:r w:rsidRPr="004371A1">
        <w:t>lást állít ki azok átvételéről. Az átvételi igazolást az 1. számú függelék tartalmazza.</w:t>
      </w:r>
    </w:p>
    <w:p w:rsidR="00604199" w:rsidRPr="004371A1" w:rsidRDefault="00604199" w:rsidP="00604199">
      <w:pPr>
        <w:jc w:val="both"/>
      </w:pPr>
      <w:r w:rsidRPr="004371A1">
        <w:t>3. A polgármester és a képviselő a saját és a hozzátartozói vagyonnyilatkozatát külön-külön borítékban adja át az átvételre jogosult bizottsági tagnak.</w:t>
      </w:r>
    </w:p>
    <w:p w:rsidR="00604199" w:rsidRPr="004371A1" w:rsidRDefault="00604199" w:rsidP="00604199">
      <w:pPr>
        <w:jc w:val="both"/>
      </w:pPr>
      <w:r w:rsidRPr="004371A1">
        <w:t>4. A polgármesteri és a képviselői vagyonnyilatkozat átvétele névvel ellátott nyílt borítékban, a hozzátartozói vagyonnyilatkozat átvétele névvel ellátott, lezárt, az átvételkor a Polgármest</w:t>
      </w:r>
      <w:r w:rsidRPr="004371A1">
        <w:t>e</w:t>
      </w:r>
      <w:r w:rsidRPr="004371A1">
        <w:t>ri Hivatal bélyegzőjével lepecsételt borítékban történik.</w:t>
      </w: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II.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A vagyonnyilatkozatok kezelésének szabályai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</w:pPr>
      <w:r w:rsidRPr="004371A1">
        <w:t>1. A vagyonnyilatkozatokat az egyéb iratoktól elkülönítetten kell kezelni, azokat a körjegyző által kijelölt biztonsági zárral ellátott helyiségben, lemezszekrényben, és azon belül is külön lemezkazettában kell tárolni. A lemezkazetta kulcsa a kijelölt bizottsági tagnál kerül megő</w:t>
      </w:r>
      <w:r w:rsidRPr="004371A1">
        <w:t>r</w:t>
      </w:r>
      <w:r w:rsidRPr="004371A1">
        <w:t>zésre.</w:t>
      </w:r>
    </w:p>
    <w:p w:rsidR="00604199" w:rsidRPr="004371A1" w:rsidRDefault="00604199" w:rsidP="00604199">
      <w:pPr>
        <w:jc w:val="both"/>
      </w:pPr>
      <w:r w:rsidRPr="004371A1">
        <w:t>2. A vagyonnyilatkozatokról és az ellenőrzési eljárásról a 2-3. számú függelék szerinti nyi</w:t>
      </w:r>
      <w:r w:rsidRPr="004371A1">
        <w:t>l</w:t>
      </w:r>
      <w:r w:rsidRPr="004371A1">
        <w:t>vántartást kell vezetni. A nyilvántartásban a kapcsolódó iratokat évente az előzményekhez kell csatolni.</w:t>
      </w:r>
    </w:p>
    <w:p w:rsidR="00604199" w:rsidRPr="004371A1" w:rsidRDefault="00604199" w:rsidP="00604199">
      <w:pPr>
        <w:jc w:val="both"/>
      </w:pPr>
      <w:r w:rsidRPr="004371A1">
        <w:t xml:space="preserve">3. A vagyonnyilatkozattal kapcsolatos technikai tevékenységet az I/2 pont alatti bizottsági tag végzi. A vagyonnyilatkozattal kapcsolatos iratokat iktatni kell. </w:t>
      </w:r>
    </w:p>
    <w:p w:rsidR="00604199" w:rsidRPr="004371A1" w:rsidRDefault="00604199" w:rsidP="00604199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4371A1">
        <w:rPr>
          <w:rFonts w:ascii="Times New Roman" w:hAnsi="Times New Roman" w:cs="Times New Roman"/>
          <w:b w:val="0"/>
          <w:sz w:val="24"/>
          <w:szCs w:val="24"/>
        </w:rPr>
        <w:t>4.</w:t>
      </w:r>
      <w:r w:rsidRPr="004371A1">
        <w:rPr>
          <w:rFonts w:ascii="Times New Roman" w:hAnsi="Times New Roman" w:cs="Times New Roman"/>
          <w:sz w:val="24"/>
          <w:szCs w:val="24"/>
        </w:rPr>
        <w:t xml:space="preserve"> </w:t>
      </w:r>
      <w:r w:rsidRPr="004371A1">
        <w:rPr>
          <w:rFonts w:ascii="Times New Roman" w:hAnsi="Times New Roman" w:cs="Times New Roman"/>
          <w:b w:val="0"/>
          <w:sz w:val="24"/>
          <w:szCs w:val="24"/>
        </w:rPr>
        <w:t xml:space="preserve">1990. évi LXV. Tv. 33/B §: </w:t>
      </w:r>
      <w:r w:rsidRPr="004371A1">
        <w:rPr>
          <w:rFonts w:ascii="Times New Roman" w:hAnsi="Times New Roman" w:cs="Times New Roman"/>
          <w:b w:val="0"/>
          <w:i/>
          <w:sz w:val="24"/>
          <w:szCs w:val="24"/>
        </w:rPr>
        <w:t xml:space="preserve">„33/B. §: </w:t>
      </w:r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 polgármester megválasztásakor, majd azt követően évente vagyonnyilatkozatot köteles tenni a helyi önkormányzati képviselők vagyonnyilatkoz</w:t>
      </w:r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</w:t>
      </w:r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tára vonatkozó szabályok szerint.”</w:t>
      </w:r>
    </w:p>
    <w:p w:rsidR="00604199" w:rsidRPr="004371A1" w:rsidRDefault="00604199" w:rsidP="00604199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4199" w:rsidRPr="004371A1" w:rsidRDefault="00604199" w:rsidP="00604199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4371A1">
        <w:rPr>
          <w:rFonts w:ascii="Times New Roman" w:hAnsi="Times New Roman" w:cs="Times New Roman"/>
          <w:b w:val="0"/>
          <w:sz w:val="24"/>
          <w:szCs w:val="24"/>
        </w:rPr>
        <w:t xml:space="preserve">2000. évi XCVI. Tv. 10/A § (3) bekezdése alapján: </w:t>
      </w:r>
      <w:r w:rsidRPr="004371A1">
        <w:rPr>
          <w:rFonts w:ascii="Times New Roman" w:hAnsi="Times New Roman" w:cs="Times New Roman"/>
          <w:b w:val="0"/>
          <w:i/>
          <w:sz w:val="24"/>
          <w:szCs w:val="24"/>
        </w:rPr>
        <w:t>„(3)…..</w:t>
      </w:r>
      <w:proofErr w:type="gramStart"/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</w:t>
      </w:r>
      <w:proofErr w:type="gramEnd"/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képviselő vagyonnyilatkozata - az ellenőrzéshez szolgáltatott azonosító adatok kivételével - nyilvános. A képviselő hozzáta</w:t>
      </w:r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r</w:t>
      </w:r>
      <w:r w:rsidRPr="004371A1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tozójának nyilatkozata nem nyilvános, abba csak az ellenőrző bizottság tagjai tekinthetnek be az ellenőrzés céljából.” </w:t>
      </w: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</w:pPr>
      <w:r w:rsidRPr="004371A1">
        <w:t xml:space="preserve">5. A polgármesteri és a képviselői vagyonnyilatkozatokat a </w:t>
      </w:r>
      <w:proofErr w:type="gramStart"/>
      <w:r w:rsidRPr="004371A1">
        <w:t>Hivatal őrzésre</w:t>
      </w:r>
      <w:proofErr w:type="gramEnd"/>
      <w:r w:rsidRPr="004371A1">
        <w:t xml:space="preserve"> kijelölt helyiség</w:t>
      </w:r>
      <w:r w:rsidRPr="004371A1">
        <w:t>é</w:t>
      </w:r>
      <w:r w:rsidRPr="004371A1">
        <w:t>ben előzetes egyeztetést követően bárki megtekintheti.</w:t>
      </w:r>
    </w:p>
    <w:p w:rsidR="00604199" w:rsidRPr="004371A1" w:rsidRDefault="00604199" w:rsidP="00604199">
      <w:pPr>
        <w:jc w:val="both"/>
      </w:pPr>
      <w:r w:rsidRPr="004371A1">
        <w:lastRenderedPageBreak/>
        <w:t>6. A hozzáféréshez 14 nappal előbb, írásos kérelmet kell benyújtani az önkormányzaton k</w:t>
      </w:r>
      <w:r w:rsidRPr="004371A1">
        <w:t>e</w:t>
      </w:r>
      <w:r w:rsidRPr="004371A1">
        <w:t>resztül a Bizottság elnökéhez, aki írásban tájékoztatja a kérelmezőt a betekintés időpontjáról.</w:t>
      </w:r>
    </w:p>
    <w:p w:rsidR="00604199" w:rsidRPr="004371A1" w:rsidRDefault="00604199" w:rsidP="00604199">
      <w:pPr>
        <w:jc w:val="both"/>
      </w:pPr>
      <w:r w:rsidRPr="004371A1">
        <w:t>7. A megtekintett képviselői és polgármesteri vagyonnyilatkozatról másolat csak a Bizottság elnökének engedélyével adható, írásos kérelem alapján.</w:t>
      </w:r>
    </w:p>
    <w:p w:rsidR="00604199" w:rsidRPr="004371A1" w:rsidRDefault="00604199" w:rsidP="00604199">
      <w:pPr>
        <w:jc w:val="both"/>
      </w:pPr>
      <w:r w:rsidRPr="004371A1">
        <w:t>8. A Pénzügyi és Vagyonnyilatkozat nyilvántartó és ellenőrző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604199" w:rsidRPr="004371A1" w:rsidRDefault="00604199" w:rsidP="00604199">
      <w:pPr>
        <w:jc w:val="both"/>
      </w:pPr>
      <w:r w:rsidRPr="004371A1">
        <w:t>9. 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képviselő-testületi tagnak, melyről igazolást kell kiállítani.</w:t>
      </w: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III.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>A vagyonnyilatkozatok ellenőrzésével és az eljárással kapcsolatos szabályok</w:t>
      </w:r>
    </w:p>
    <w:p w:rsidR="00604199" w:rsidRPr="004371A1" w:rsidRDefault="00604199" w:rsidP="00604199">
      <w:pPr>
        <w:jc w:val="both"/>
      </w:pPr>
    </w:p>
    <w:p w:rsidR="00604199" w:rsidRPr="004371A1" w:rsidRDefault="00604199" w:rsidP="00604199">
      <w:pPr>
        <w:jc w:val="both"/>
      </w:pPr>
      <w:r w:rsidRPr="004371A1">
        <w:t>1. A vagyonnyilatkozattal kapcsolatos eljárás célja: a vagyonnyilatkozatban foglaltak valósá</w:t>
      </w:r>
      <w:r w:rsidRPr="004371A1">
        <w:t>g</w:t>
      </w:r>
      <w:r w:rsidRPr="004371A1">
        <w:t>tartalmának ellenőrzése. A vagyonnyilatkozattal kapcsolatos eljárást a Pénzügyi és Vagyo</w:t>
      </w:r>
      <w:r w:rsidRPr="004371A1">
        <w:t>n</w:t>
      </w:r>
      <w:r w:rsidRPr="004371A1">
        <w:t xml:space="preserve">nyilatkozat nyilvántartó és ellenőrző Bizottságnál bárki kezdeményezheti. </w:t>
      </w:r>
    </w:p>
    <w:p w:rsidR="00604199" w:rsidRPr="004371A1" w:rsidRDefault="00604199" w:rsidP="00604199">
      <w:pPr>
        <w:jc w:val="both"/>
      </w:pPr>
      <w:r w:rsidRPr="004371A1">
        <w:t>2. A Bizottság az eljárást a kezdeményezéstől számított 30 napon belül folytatja le. A Bizot</w:t>
      </w:r>
      <w:r w:rsidRPr="004371A1">
        <w:t>t</w:t>
      </w:r>
      <w:r w:rsidRPr="004371A1">
        <w:t>ság eljárására a képviselő-testület zárt ülésére vonatkozó szabályait kell alkalmazni. A zárt ülésen csak a Bizottság tagjai vehetnek részt.</w:t>
      </w:r>
    </w:p>
    <w:p w:rsidR="00604199" w:rsidRPr="004371A1" w:rsidRDefault="00604199" w:rsidP="00604199">
      <w:pPr>
        <w:jc w:val="both"/>
      </w:pPr>
      <w:r w:rsidRPr="004371A1">
        <w:t>3. Az eljárás kezdeményezéséről a Bizottság elnöke haladéktalanul tájékoztatja az érintett képviselőt.</w:t>
      </w:r>
    </w:p>
    <w:p w:rsidR="00604199" w:rsidRPr="004371A1" w:rsidRDefault="00604199" w:rsidP="00604199">
      <w:pPr>
        <w:jc w:val="both"/>
      </w:pPr>
      <w:r w:rsidRPr="004371A1">
        <w:t>4. Az ellenőrzési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</w:t>
      </w:r>
      <w:r w:rsidRPr="004371A1">
        <w:t>e</w:t>
      </w:r>
      <w:r w:rsidRPr="004371A1">
        <w:t>zőt a hiány pótlására. Ha a kezdeményező 8 napon belül nem tesz eleget a felhívásnak, vagy ha a kezdeményezés nyilvánvalóan alaptalan, a Bizottság elnöke az eljárás lefolytatása nélkül elutasítja a kezdeményezést.</w:t>
      </w:r>
    </w:p>
    <w:p w:rsidR="00604199" w:rsidRPr="004371A1" w:rsidRDefault="00604199" w:rsidP="00604199">
      <w:pPr>
        <w:jc w:val="both"/>
      </w:pPr>
      <w:r w:rsidRPr="004371A1">
        <w:t>5. Az ellenőrzési eljárás megismétlésének ugyanazon vagyonnyilatkozat esetén csak akkor van helye, ha az erre irányuló kezdeményezés új tényállást (adatot) tartalmaz. Az ellenőrzési eljárásra irányuló – új tényállítás nélküli – ismételt kezdeményezést a Bizottság elnöke annak érdemi vizsgálata nélkül elutasítja.</w:t>
      </w:r>
    </w:p>
    <w:p w:rsidR="00604199" w:rsidRPr="004371A1" w:rsidRDefault="00604199" w:rsidP="00604199">
      <w:pPr>
        <w:jc w:val="both"/>
      </w:pPr>
      <w:r w:rsidRPr="004371A1">
        <w:t>6. A névtelen kezdeményezést a Bizottság elnöke eljárás lefolytatása nélkül elutasítja.</w:t>
      </w:r>
    </w:p>
    <w:p w:rsidR="00604199" w:rsidRPr="004371A1" w:rsidRDefault="00604199" w:rsidP="00604199">
      <w:pPr>
        <w:jc w:val="both"/>
      </w:pPr>
      <w:r w:rsidRPr="004371A1">
        <w:t>7. A vagyonnyilatkozattal kapcsolatos ellenőrzési eljárás során a képviselői és hozzátartozói vagyonnyilatkozatba történő betekintést a 4. számú függelék szerint vezetett „Betekintési nyilvántartás”</w:t>
      </w:r>
      <w:proofErr w:type="spellStart"/>
      <w:r w:rsidRPr="004371A1">
        <w:t>-ban</w:t>
      </w:r>
      <w:proofErr w:type="spellEnd"/>
      <w:r w:rsidRPr="004371A1">
        <w:t xml:space="preserve"> dokumentálni kell.</w:t>
      </w:r>
    </w:p>
    <w:p w:rsidR="00604199" w:rsidRPr="004371A1" w:rsidRDefault="00604199" w:rsidP="00604199">
      <w:pPr>
        <w:jc w:val="both"/>
      </w:pPr>
      <w:r w:rsidRPr="004371A1">
        <w:t>8. A vagyonnyilatkozattal kapcsolatos eljárás során a Bizottság elnökének írásbeli felhívására a képviselő, illetve a polgármester köteles a saját, illetve a hozzátartozója vagyonnyilatkoz</w:t>
      </w:r>
      <w:r w:rsidRPr="004371A1">
        <w:t>a</w:t>
      </w:r>
      <w:r w:rsidRPr="004371A1">
        <w:t>tában feltüntetett adatokra vonatkozó adatait 3 napon belül írásban benyújtani (pl.: adásvételi szerződés, stb.). Az azonosító adatokat csak a Bizottság tagjai ismerhetik meg.</w:t>
      </w:r>
    </w:p>
    <w:p w:rsidR="00604199" w:rsidRPr="004371A1" w:rsidRDefault="00604199" w:rsidP="00604199">
      <w:pPr>
        <w:jc w:val="both"/>
      </w:pPr>
      <w:r w:rsidRPr="004371A1">
        <w:t>9. Az eljárás eredményéről a Bizottság elnöke tájékoztatja a soron következő ülésen a képv</w:t>
      </w:r>
      <w:r w:rsidRPr="004371A1">
        <w:t>i</w:t>
      </w:r>
      <w:r w:rsidRPr="004371A1">
        <w:t xml:space="preserve">selő testületet, a kezdeményezőt és a vizsgált személyt (képviselőt vagy polgármestert). </w:t>
      </w:r>
    </w:p>
    <w:p w:rsidR="00604199" w:rsidRPr="004371A1" w:rsidRDefault="00604199" w:rsidP="00604199">
      <w:pPr>
        <w:jc w:val="both"/>
      </w:pPr>
      <w:r w:rsidRPr="004371A1">
        <w:t>10. A bekért azonosító adatokat az eljárás lezárását követő 8 napon belül meg kell semmisít</w:t>
      </w:r>
      <w:r w:rsidRPr="004371A1">
        <w:t>e</w:t>
      </w:r>
      <w:r w:rsidRPr="004371A1">
        <w:t>ni, vagy vissza kell szolgáltatni a vizsgált személy részére.</w:t>
      </w:r>
    </w:p>
    <w:p w:rsidR="00604199" w:rsidRPr="004371A1" w:rsidRDefault="00604199" w:rsidP="00604199">
      <w:pPr>
        <w:jc w:val="both"/>
      </w:pPr>
      <w:r w:rsidRPr="004371A1">
        <w:lastRenderedPageBreak/>
        <w:t xml:space="preserve">11. Ha a képviselő vagy a polgármester megbízatása megszűnik, akkor a saját, valamint a </w:t>
      </w:r>
      <w:proofErr w:type="gramStart"/>
      <w:r w:rsidRPr="004371A1">
        <w:t>hozzátartozó(</w:t>
      </w:r>
      <w:proofErr w:type="gramEnd"/>
      <w:r w:rsidRPr="004371A1">
        <w:t>k) vagyonnyilatkozatát a megszűnéstől számított egy év elteltével a nyilvánta</w:t>
      </w:r>
      <w:r w:rsidRPr="004371A1">
        <w:t>r</w:t>
      </w:r>
      <w:r w:rsidRPr="004371A1">
        <w:t>tásból törölni kell, a beadott vagyonnyilatkozatokat meg kell semmisíteni.</w:t>
      </w:r>
    </w:p>
    <w:p w:rsidR="00604199" w:rsidRPr="004371A1" w:rsidRDefault="00604199" w:rsidP="00604199">
      <w:pPr>
        <w:jc w:val="both"/>
      </w:pPr>
      <w:r w:rsidRPr="004371A1">
        <w:t>12. A (8) és (9) bekezdések szerinti megsemmisítésről a Bizottság elnöke jegyzőkönyvet vesz fel.</w:t>
      </w:r>
    </w:p>
    <w:p w:rsidR="00604199" w:rsidRPr="004371A1" w:rsidRDefault="00604199" w:rsidP="00604199">
      <w:pPr>
        <w:jc w:val="both"/>
      </w:pPr>
      <w:r w:rsidRPr="004371A1">
        <w:t xml:space="preserve">13. A Bizottság vagyonnyilatkozatokkal kapcsolatos ügyviteli feladatait a körjegyző látja el. 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 xml:space="preserve">                                                                  IV.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  <w:rPr>
          <w:b/>
        </w:rPr>
      </w:pPr>
      <w:r w:rsidRPr="004371A1">
        <w:rPr>
          <w:b/>
        </w:rPr>
        <w:t xml:space="preserve">                                                     Felelősségi szabályok</w:t>
      </w:r>
    </w:p>
    <w:p w:rsidR="00604199" w:rsidRPr="004371A1" w:rsidRDefault="00604199" w:rsidP="00604199">
      <w:pPr>
        <w:jc w:val="both"/>
        <w:rPr>
          <w:b/>
        </w:rPr>
      </w:pPr>
    </w:p>
    <w:p w:rsidR="00604199" w:rsidRPr="004371A1" w:rsidRDefault="00604199" w:rsidP="00604199">
      <w:pPr>
        <w:jc w:val="both"/>
      </w:pPr>
      <w:r w:rsidRPr="004371A1">
        <w:t xml:space="preserve">1. A vagyonnyilatkozatokkal kapcsolatos adatok védelméért, az adatkezelés jogszerűségéért a </w:t>
      </w:r>
      <w:proofErr w:type="gramStart"/>
      <w:r w:rsidRPr="004371A1">
        <w:t>Bizottság felelős</w:t>
      </w:r>
      <w:proofErr w:type="gramEnd"/>
      <w:r w:rsidRPr="004371A1">
        <w:t>.</w:t>
      </w:r>
    </w:p>
    <w:p w:rsidR="00604199" w:rsidRPr="004371A1" w:rsidRDefault="00604199" w:rsidP="00604199">
      <w:pPr>
        <w:jc w:val="both"/>
      </w:pPr>
      <w:r w:rsidRPr="004371A1">
        <w:t>2. A képviselő felelős azért, hogy az általa bejelentett adatok hitelesek, pontosak, teljes kör</w:t>
      </w:r>
      <w:r w:rsidRPr="004371A1">
        <w:t>ű</w:t>
      </w:r>
      <w:r w:rsidRPr="004371A1">
        <w:t>ek és aktuálisak legyenek.</w:t>
      </w:r>
    </w:p>
    <w:p w:rsidR="00604199" w:rsidRPr="004371A1" w:rsidRDefault="00604199" w:rsidP="00604199">
      <w:pPr>
        <w:jc w:val="both"/>
      </w:pPr>
      <w:r w:rsidRPr="004371A1">
        <w:t xml:space="preserve">3. A vagyonnyilatkozatok technikai kezelése szabályainak megtartásáért a I/2. pont szerinti </w:t>
      </w:r>
      <w:proofErr w:type="gramStart"/>
      <w:r w:rsidRPr="004371A1">
        <w:t>személy felelős</w:t>
      </w:r>
      <w:proofErr w:type="gramEnd"/>
      <w:r w:rsidRPr="004371A1">
        <w:t>.</w:t>
      </w:r>
    </w:p>
    <w:p w:rsidR="00790C03" w:rsidRDefault="00790C03"/>
    <w:sectPr w:rsidR="00790C03" w:rsidSect="00790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199"/>
    <w:rsid w:val="00055C8F"/>
    <w:rsid w:val="00604199"/>
    <w:rsid w:val="0064237C"/>
    <w:rsid w:val="00790C03"/>
    <w:rsid w:val="00B506C7"/>
    <w:rsid w:val="00D66283"/>
    <w:rsid w:val="00E0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199"/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6086</Characters>
  <Application>Microsoft Office Word</Application>
  <DocSecurity>0</DocSecurity>
  <Lines>50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Mogyorósbánya</dc:creator>
  <cp:keywords/>
  <dc:description/>
  <cp:lastModifiedBy>PM Mogyorósbánya</cp:lastModifiedBy>
  <cp:revision>2</cp:revision>
  <dcterms:created xsi:type="dcterms:W3CDTF">2013-10-01T08:17:00Z</dcterms:created>
  <dcterms:modified xsi:type="dcterms:W3CDTF">2013-10-01T08:17:00Z</dcterms:modified>
</cp:coreProperties>
</file>