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E9A" w:rsidRDefault="00D30E9A" w:rsidP="00D30E9A">
      <w:pPr>
        <w:jc w:val="center"/>
        <w:rPr>
          <w:rFonts w:ascii="Times New Roman" w:hAnsi="Times New Roman" w:cs="Times New Roman"/>
          <w:b/>
        </w:rPr>
      </w:pPr>
    </w:p>
    <w:p w:rsidR="00D30E9A" w:rsidRDefault="00D30E9A" w:rsidP="00D30E9A">
      <w:pPr>
        <w:jc w:val="center"/>
        <w:rPr>
          <w:rFonts w:ascii="Times New Roman" w:hAnsi="Times New Roman" w:cs="Times New Roman"/>
          <w:b/>
        </w:rPr>
      </w:pPr>
    </w:p>
    <w:p w:rsidR="00D30E9A" w:rsidRDefault="00D30E9A" w:rsidP="00D30E9A">
      <w:pPr>
        <w:jc w:val="center"/>
        <w:rPr>
          <w:rFonts w:ascii="Times New Roman" w:hAnsi="Times New Roman" w:cs="Times New Roman"/>
          <w:b/>
        </w:rPr>
      </w:pPr>
    </w:p>
    <w:p w:rsidR="00D30E9A" w:rsidRDefault="00D30E9A" w:rsidP="00D30E9A">
      <w:pPr>
        <w:jc w:val="center"/>
        <w:rPr>
          <w:rFonts w:ascii="Times New Roman" w:hAnsi="Times New Roman" w:cs="Times New Roman"/>
          <w:b/>
        </w:rPr>
      </w:pPr>
    </w:p>
    <w:p w:rsidR="00D30E9A" w:rsidRPr="000A5BA0" w:rsidRDefault="00D30E9A" w:rsidP="00D30E9A">
      <w:pPr>
        <w:jc w:val="center"/>
        <w:rPr>
          <w:rFonts w:ascii="Times New Roman" w:hAnsi="Times New Roman" w:cs="Times New Roman"/>
          <w:b/>
        </w:rPr>
      </w:pPr>
      <w:r w:rsidRPr="000A5BA0">
        <w:rPr>
          <w:rFonts w:ascii="Times New Roman" w:hAnsi="Times New Roman" w:cs="Times New Roman"/>
          <w:b/>
        </w:rPr>
        <w:t>HATÁSVIZSGÁLATI LAP</w:t>
      </w:r>
    </w:p>
    <w:p w:rsidR="00D30E9A" w:rsidRPr="000A5BA0" w:rsidRDefault="00D30E9A" w:rsidP="00D30E9A">
      <w:pPr>
        <w:jc w:val="center"/>
        <w:rPr>
          <w:rFonts w:ascii="Times New Roman" w:hAnsi="Times New Roman" w:cs="Times New Roman"/>
          <w:b/>
        </w:rPr>
      </w:pPr>
    </w:p>
    <w:p w:rsidR="00D30E9A" w:rsidRPr="000A5BA0" w:rsidRDefault="00D30E9A" w:rsidP="00D30E9A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A5BA0">
        <w:rPr>
          <w:rFonts w:ascii="Times New Roman" w:hAnsi="Times New Roman" w:cs="Times New Roman"/>
          <w:b/>
        </w:rPr>
        <w:t>Társadalmi hatások</w:t>
      </w:r>
    </w:p>
    <w:p w:rsidR="00D30E9A" w:rsidRPr="000A5BA0" w:rsidRDefault="00D30E9A" w:rsidP="00D30E9A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rendelet személyi hatálya a Tiszakécskei Polgármesteri Hivatal köztisztviselőire terjed ki, így pozitív hatása elsősorban az érintettek körében van. Az illetménykiegészítés kifejezi társadalmi megbecsülésüket, munkájuk elismerését. </w:t>
      </w:r>
    </w:p>
    <w:p w:rsidR="00D30E9A" w:rsidRPr="000A5BA0" w:rsidRDefault="00D30E9A" w:rsidP="00D30E9A">
      <w:pPr>
        <w:ind w:left="360"/>
        <w:jc w:val="both"/>
        <w:rPr>
          <w:rFonts w:ascii="Times New Roman" w:hAnsi="Times New Roman" w:cs="Times New Roman"/>
        </w:rPr>
      </w:pPr>
    </w:p>
    <w:p w:rsidR="00D30E9A" w:rsidRPr="000A5BA0" w:rsidRDefault="00D30E9A" w:rsidP="00D30E9A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A5BA0">
        <w:rPr>
          <w:rFonts w:ascii="Times New Roman" w:hAnsi="Times New Roman" w:cs="Times New Roman"/>
          <w:b/>
        </w:rPr>
        <w:t>Gazdasági, költségvetési hatások</w:t>
      </w:r>
    </w:p>
    <w:p w:rsidR="00D30E9A" w:rsidRPr="000A5BA0" w:rsidRDefault="00D30E9A" w:rsidP="00D30E9A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illetménykiegészítés az önkormányzat költségvetéséből kerül finanszírozásra.</w:t>
      </w:r>
    </w:p>
    <w:p w:rsidR="00D30E9A" w:rsidRPr="000A5BA0" w:rsidRDefault="00D30E9A" w:rsidP="00D30E9A">
      <w:pPr>
        <w:ind w:left="360"/>
        <w:jc w:val="both"/>
        <w:rPr>
          <w:rFonts w:ascii="Times New Roman" w:hAnsi="Times New Roman" w:cs="Times New Roman"/>
        </w:rPr>
      </w:pPr>
    </w:p>
    <w:p w:rsidR="00D30E9A" w:rsidRPr="000A5BA0" w:rsidRDefault="00D30E9A" w:rsidP="00D30E9A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A5BA0">
        <w:rPr>
          <w:rFonts w:ascii="Times New Roman" w:hAnsi="Times New Roman" w:cs="Times New Roman"/>
          <w:b/>
        </w:rPr>
        <w:t>Környezeti hatások</w:t>
      </w:r>
    </w:p>
    <w:p w:rsidR="00D30E9A" w:rsidRPr="000A5BA0" w:rsidRDefault="00D30E9A" w:rsidP="00D30E9A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rendeletnek közvetlen környezeti hatása nincs.</w:t>
      </w:r>
    </w:p>
    <w:p w:rsidR="00D30E9A" w:rsidRPr="000A5BA0" w:rsidRDefault="00D30E9A" w:rsidP="00D30E9A">
      <w:pPr>
        <w:ind w:left="360"/>
        <w:jc w:val="both"/>
        <w:rPr>
          <w:rFonts w:ascii="Times New Roman" w:hAnsi="Times New Roman" w:cs="Times New Roman"/>
        </w:rPr>
      </w:pPr>
    </w:p>
    <w:p w:rsidR="00D30E9A" w:rsidRPr="000A5BA0" w:rsidRDefault="00D30E9A" w:rsidP="00D30E9A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A5BA0">
        <w:rPr>
          <w:rFonts w:ascii="Times New Roman" w:hAnsi="Times New Roman" w:cs="Times New Roman"/>
          <w:b/>
        </w:rPr>
        <w:t>Egészségi következmény</w:t>
      </w:r>
    </w:p>
    <w:p w:rsidR="00D30E9A" w:rsidRPr="000A5BA0" w:rsidRDefault="00D30E9A" w:rsidP="00D30E9A">
      <w:pPr>
        <w:ind w:left="360"/>
        <w:jc w:val="both"/>
        <w:rPr>
          <w:rFonts w:ascii="Times New Roman" w:hAnsi="Times New Roman" w:cs="Times New Roman"/>
          <w:b/>
        </w:rPr>
      </w:pPr>
      <w:r w:rsidRPr="000A5BA0">
        <w:rPr>
          <w:rFonts w:ascii="Times New Roman" w:hAnsi="Times New Roman" w:cs="Times New Roman"/>
        </w:rPr>
        <w:t>A rendeletnek közvetlen egészségi hatása nincs.</w:t>
      </w:r>
    </w:p>
    <w:p w:rsidR="00D30E9A" w:rsidRPr="000A5BA0" w:rsidRDefault="00D30E9A" w:rsidP="00D30E9A">
      <w:pPr>
        <w:ind w:left="360"/>
        <w:jc w:val="both"/>
        <w:rPr>
          <w:rFonts w:ascii="Times New Roman" w:hAnsi="Times New Roman" w:cs="Times New Roman"/>
          <w:b/>
        </w:rPr>
      </w:pPr>
    </w:p>
    <w:p w:rsidR="00D30E9A" w:rsidRPr="000A5BA0" w:rsidRDefault="00D30E9A" w:rsidP="00D30E9A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A5BA0">
        <w:rPr>
          <w:rFonts w:ascii="Times New Roman" w:hAnsi="Times New Roman" w:cs="Times New Roman"/>
          <w:b/>
        </w:rPr>
        <w:t>Adminisztratív terheket befolyásoló hatások</w:t>
      </w:r>
    </w:p>
    <w:p w:rsidR="00D30E9A" w:rsidRPr="000A5BA0" w:rsidRDefault="00D30E9A" w:rsidP="00D30E9A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kinevezések módosítása minimális többlet adminisztratív terhet eredményez. </w:t>
      </w:r>
    </w:p>
    <w:p w:rsidR="00D30E9A" w:rsidRPr="000A5BA0" w:rsidRDefault="00D30E9A" w:rsidP="00D30E9A">
      <w:pPr>
        <w:ind w:left="360"/>
        <w:jc w:val="both"/>
        <w:rPr>
          <w:rFonts w:ascii="Times New Roman" w:hAnsi="Times New Roman" w:cs="Times New Roman"/>
        </w:rPr>
      </w:pPr>
    </w:p>
    <w:p w:rsidR="00D30E9A" w:rsidRPr="000A5BA0" w:rsidRDefault="00D30E9A" w:rsidP="00D30E9A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A5BA0">
        <w:rPr>
          <w:rFonts w:ascii="Times New Roman" w:hAnsi="Times New Roman" w:cs="Times New Roman"/>
          <w:b/>
        </w:rPr>
        <w:t>A jogszabály megalkotásának szükségessége, a jogalkotás elmaradásának várható következményei</w:t>
      </w:r>
    </w:p>
    <w:p w:rsidR="00D30E9A" w:rsidRPr="000A5BA0" w:rsidRDefault="00D30E9A" w:rsidP="00D30E9A">
      <w:pPr>
        <w:ind w:left="360"/>
        <w:jc w:val="both"/>
        <w:rPr>
          <w:rFonts w:ascii="Times New Roman" w:hAnsi="Times New Roman" w:cs="Times New Roman"/>
        </w:rPr>
      </w:pPr>
      <w:r w:rsidRPr="000A5BA0">
        <w:rPr>
          <w:rFonts w:ascii="Times New Roman" w:hAnsi="Times New Roman" w:cs="Times New Roman"/>
        </w:rPr>
        <w:t>A rendelet megalkotása nem kötelező.</w:t>
      </w:r>
    </w:p>
    <w:p w:rsidR="00D30E9A" w:rsidRPr="000A5BA0" w:rsidRDefault="00D30E9A" w:rsidP="00D30E9A">
      <w:pPr>
        <w:ind w:left="360"/>
        <w:jc w:val="both"/>
        <w:rPr>
          <w:rFonts w:ascii="Times New Roman" w:hAnsi="Times New Roman" w:cs="Times New Roman"/>
        </w:rPr>
      </w:pPr>
    </w:p>
    <w:p w:rsidR="00D30E9A" w:rsidRPr="000A5BA0" w:rsidRDefault="00D30E9A" w:rsidP="00D30E9A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A5BA0">
        <w:rPr>
          <w:rFonts w:ascii="Times New Roman" w:hAnsi="Times New Roman" w:cs="Times New Roman"/>
          <w:b/>
        </w:rPr>
        <w:t>A jogszabály alkalmazásához szükséges személyi, szervezeti, tárgyi és pénzügyi feltételek</w:t>
      </w:r>
    </w:p>
    <w:p w:rsidR="00D30E9A" w:rsidRDefault="00D30E9A" w:rsidP="00D30E9A">
      <w:pPr>
        <w:ind w:left="360"/>
        <w:jc w:val="both"/>
        <w:rPr>
          <w:rFonts w:ascii="Times New Roman" w:hAnsi="Times New Roman" w:cs="Times New Roman"/>
        </w:rPr>
      </w:pPr>
      <w:r w:rsidRPr="000A5BA0">
        <w:rPr>
          <w:rFonts w:ascii="Times New Roman" w:hAnsi="Times New Roman" w:cs="Times New Roman"/>
        </w:rPr>
        <w:t>A jogszabály alkalmazásához szükséges személyi, szervezeti, tárgyi és pénzügyi feltételek rendelkezésre állnak.</w:t>
      </w:r>
    </w:p>
    <w:p w:rsidR="00D30E9A" w:rsidRDefault="00D30E9A" w:rsidP="00D30E9A">
      <w:pPr>
        <w:ind w:left="360"/>
        <w:jc w:val="both"/>
        <w:rPr>
          <w:rFonts w:ascii="Times New Roman" w:hAnsi="Times New Roman" w:cs="Times New Roman"/>
        </w:rPr>
      </w:pPr>
    </w:p>
    <w:p w:rsidR="00D30E9A" w:rsidRDefault="00D30E9A" w:rsidP="00D30E9A">
      <w:pPr>
        <w:ind w:left="360"/>
        <w:jc w:val="both"/>
        <w:rPr>
          <w:rFonts w:ascii="Times New Roman" w:hAnsi="Times New Roman" w:cs="Times New Roman"/>
        </w:rPr>
      </w:pPr>
    </w:p>
    <w:p w:rsidR="00D30E9A" w:rsidRDefault="00D30E9A" w:rsidP="00D30E9A">
      <w:pPr>
        <w:ind w:left="360"/>
        <w:jc w:val="both"/>
        <w:rPr>
          <w:rFonts w:ascii="Times New Roman" w:hAnsi="Times New Roman" w:cs="Times New Roman"/>
        </w:rPr>
      </w:pPr>
    </w:p>
    <w:p w:rsidR="00D30E9A" w:rsidRDefault="00D30E9A" w:rsidP="00D30E9A">
      <w:pPr>
        <w:ind w:left="360"/>
        <w:jc w:val="both"/>
        <w:rPr>
          <w:rFonts w:ascii="Times New Roman" w:hAnsi="Times New Roman" w:cs="Times New Roman"/>
        </w:rPr>
      </w:pPr>
    </w:p>
    <w:p w:rsidR="00D30E9A" w:rsidRDefault="00D30E9A" w:rsidP="00D30E9A">
      <w:pPr>
        <w:ind w:left="360"/>
        <w:jc w:val="both"/>
        <w:rPr>
          <w:rFonts w:ascii="Times New Roman" w:hAnsi="Times New Roman" w:cs="Times New Roman"/>
        </w:rPr>
      </w:pPr>
    </w:p>
    <w:p w:rsidR="00D30E9A" w:rsidRDefault="00D30E9A" w:rsidP="00D30E9A">
      <w:pPr>
        <w:ind w:left="360"/>
        <w:jc w:val="both"/>
        <w:rPr>
          <w:rFonts w:ascii="Times New Roman" w:hAnsi="Times New Roman" w:cs="Times New Roman"/>
        </w:rPr>
      </w:pPr>
    </w:p>
    <w:p w:rsidR="00D30E9A" w:rsidRDefault="00D30E9A" w:rsidP="00D30E9A">
      <w:pPr>
        <w:ind w:left="360"/>
        <w:jc w:val="both"/>
        <w:rPr>
          <w:rFonts w:ascii="Times New Roman" w:hAnsi="Times New Roman" w:cs="Times New Roman"/>
        </w:rPr>
      </w:pPr>
    </w:p>
    <w:p w:rsidR="00D30E9A" w:rsidRDefault="00D30E9A" w:rsidP="00D30E9A">
      <w:pPr>
        <w:ind w:left="360"/>
        <w:jc w:val="both"/>
        <w:rPr>
          <w:rFonts w:ascii="Times New Roman" w:hAnsi="Times New Roman" w:cs="Times New Roman"/>
        </w:rPr>
      </w:pPr>
    </w:p>
    <w:p w:rsidR="00D30E9A" w:rsidRDefault="00D30E9A" w:rsidP="00D30E9A">
      <w:pPr>
        <w:ind w:left="360"/>
        <w:jc w:val="both"/>
        <w:rPr>
          <w:rFonts w:ascii="Times New Roman" w:hAnsi="Times New Roman" w:cs="Times New Roman"/>
        </w:rPr>
      </w:pPr>
    </w:p>
    <w:p w:rsidR="00D30E9A" w:rsidRDefault="00D30E9A" w:rsidP="00D30E9A">
      <w:pPr>
        <w:ind w:left="360"/>
        <w:jc w:val="both"/>
        <w:rPr>
          <w:rFonts w:ascii="Times New Roman" w:hAnsi="Times New Roman" w:cs="Times New Roman"/>
        </w:rPr>
      </w:pPr>
    </w:p>
    <w:p w:rsidR="00D30E9A" w:rsidRDefault="00D30E9A" w:rsidP="00D30E9A">
      <w:pPr>
        <w:ind w:left="360"/>
        <w:jc w:val="both"/>
        <w:rPr>
          <w:rFonts w:ascii="Times New Roman" w:hAnsi="Times New Roman" w:cs="Times New Roman"/>
        </w:rPr>
      </w:pPr>
    </w:p>
    <w:p w:rsidR="00D30E9A" w:rsidRDefault="00D30E9A" w:rsidP="00D30E9A">
      <w:pPr>
        <w:ind w:left="360"/>
        <w:jc w:val="both"/>
        <w:rPr>
          <w:rFonts w:ascii="Times New Roman" w:hAnsi="Times New Roman" w:cs="Times New Roman"/>
        </w:rPr>
      </w:pPr>
    </w:p>
    <w:p w:rsidR="00D30E9A" w:rsidRDefault="00D30E9A" w:rsidP="00D30E9A">
      <w:pPr>
        <w:ind w:left="360"/>
        <w:jc w:val="both"/>
        <w:rPr>
          <w:rFonts w:ascii="Times New Roman" w:hAnsi="Times New Roman" w:cs="Times New Roman"/>
        </w:rPr>
      </w:pPr>
    </w:p>
    <w:p w:rsidR="00D30E9A" w:rsidRDefault="00D30E9A" w:rsidP="00D30E9A">
      <w:pPr>
        <w:ind w:left="360"/>
        <w:jc w:val="both"/>
        <w:rPr>
          <w:rFonts w:ascii="Times New Roman" w:hAnsi="Times New Roman" w:cs="Times New Roman"/>
        </w:rPr>
      </w:pPr>
    </w:p>
    <w:p w:rsidR="00D30E9A" w:rsidRDefault="00D30E9A" w:rsidP="00D30E9A">
      <w:pPr>
        <w:ind w:left="360"/>
        <w:jc w:val="both"/>
        <w:rPr>
          <w:rFonts w:ascii="Times New Roman" w:hAnsi="Times New Roman" w:cs="Times New Roman"/>
        </w:rPr>
      </w:pPr>
    </w:p>
    <w:p w:rsidR="00D30E9A" w:rsidRDefault="00D30E9A" w:rsidP="00D30E9A">
      <w:pPr>
        <w:ind w:left="360"/>
        <w:jc w:val="both"/>
        <w:rPr>
          <w:rFonts w:ascii="Times New Roman" w:hAnsi="Times New Roman" w:cs="Times New Roman"/>
        </w:rPr>
      </w:pPr>
    </w:p>
    <w:p w:rsidR="00D30E9A" w:rsidRDefault="00D30E9A" w:rsidP="00D30E9A">
      <w:pPr>
        <w:ind w:left="360"/>
        <w:jc w:val="both"/>
        <w:rPr>
          <w:rFonts w:ascii="Times New Roman" w:hAnsi="Times New Roman" w:cs="Times New Roman"/>
        </w:rPr>
      </w:pPr>
    </w:p>
    <w:p w:rsidR="00D30E9A" w:rsidRDefault="00D30E9A" w:rsidP="00D30E9A">
      <w:pPr>
        <w:ind w:left="360"/>
        <w:jc w:val="both"/>
        <w:rPr>
          <w:rFonts w:ascii="Times New Roman" w:hAnsi="Times New Roman" w:cs="Times New Roman"/>
        </w:rPr>
      </w:pPr>
    </w:p>
    <w:p w:rsidR="00D30E9A" w:rsidRPr="000A5BA0" w:rsidRDefault="00D30E9A" w:rsidP="00D30E9A">
      <w:pPr>
        <w:ind w:left="360"/>
        <w:jc w:val="both"/>
        <w:rPr>
          <w:rFonts w:ascii="Times New Roman" w:hAnsi="Times New Roman" w:cs="Times New Roman"/>
        </w:rPr>
      </w:pPr>
    </w:p>
    <w:p w:rsidR="00D30E9A" w:rsidRDefault="00D30E9A" w:rsidP="00D30E9A">
      <w:pPr>
        <w:ind w:left="360"/>
        <w:jc w:val="center"/>
        <w:rPr>
          <w:rFonts w:ascii="Times New Roman" w:hAnsi="Times New Roman" w:cs="Times New Roman"/>
          <w:b/>
        </w:rPr>
      </w:pPr>
    </w:p>
    <w:p w:rsidR="00D30E9A" w:rsidRDefault="00D30E9A" w:rsidP="00D30E9A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ÁLTALÁNOS INDOKOLÁS</w:t>
      </w:r>
    </w:p>
    <w:p w:rsidR="00D30E9A" w:rsidRDefault="00D30E9A" w:rsidP="00D30E9A">
      <w:pPr>
        <w:ind w:left="360"/>
        <w:jc w:val="center"/>
        <w:rPr>
          <w:rFonts w:ascii="Times New Roman" w:hAnsi="Times New Roman" w:cs="Times New Roman"/>
          <w:b/>
        </w:rPr>
      </w:pPr>
    </w:p>
    <w:p w:rsidR="00D30E9A" w:rsidRDefault="00D30E9A" w:rsidP="00D30E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közszolgálati tisztviselőkről szóló 2011. évi CXCIX. törvény 234. § (3)-(4) bekezdése lehetővé teszi, hogy a helyi önkormányzat rendeletben, tárgyévre egységesen valamennyi felsőfokú, illetve egységesen valamennyi érettségi végzettségű köztisztviselőnek illetménykiegészítést állapítson meg, amelynek mértéke a felsőfokú végzettségű köztisztviselőknél legfeljebb a köztisztviselő alapilletményének 30%-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>, az érettségi végzettségű köztisztviselőknél pedig legfeljebb a köztisztviselő alapilletményének 20%-a lehet.</w:t>
      </w:r>
    </w:p>
    <w:p w:rsidR="00D30E9A" w:rsidRDefault="00D30E9A" w:rsidP="00D30E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Képviselő-testület 2016. óta minden évben a köztisztviselők részére a felsőfokú végzettségűek tekintetében 30%, a középfokú, érettségi végzettségűek tekintetében pedig 20% illetménykiegészítés megállapításáról döntött.</w:t>
      </w:r>
    </w:p>
    <w:p w:rsidR="00D30E9A" w:rsidRDefault="00D30E9A" w:rsidP="00D30E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illetménykiegészítést tárgyévre lehet megállapítani.</w:t>
      </w:r>
    </w:p>
    <w:p w:rsidR="00D30E9A" w:rsidRDefault="00D30E9A" w:rsidP="00D30E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illetménykiegészítés az egyik eszköz arra, hogy önkormányzatunk piacképes béreket tudjon kínálni.</w:t>
      </w:r>
    </w:p>
    <w:p w:rsidR="00D30E9A" w:rsidRDefault="00D30E9A" w:rsidP="00D30E9A">
      <w:pPr>
        <w:ind w:left="360"/>
        <w:jc w:val="center"/>
        <w:rPr>
          <w:rFonts w:ascii="Times New Roman" w:hAnsi="Times New Roman" w:cs="Times New Roman"/>
          <w:b/>
        </w:rPr>
      </w:pPr>
    </w:p>
    <w:p w:rsidR="00D30E9A" w:rsidRDefault="00D30E9A" w:rsidP="00D30E9A">
      <w:pPr>
        <w:ind w:left="360"/>
        <w:jc w:val="center"/>
        <w:rPr>
          <w:rFonts w:ascii="Times New Roman" w:hAnsi="Times New Roman" w:cs="Times New Roman"/>
          <w:b/>
        </w:rPr>
      </w:pPr>
    </w:p>
    <w:p w:rsidR="00D30E9A" w:rsidRDefault="00D30E9A" w:rsidP="00D30E9A">
      <w:pPr>
        <w:ind w:left="360"/>
        <w:jc w:val="center"/>
        <w:rPr>
          <w:rFonts w:ascii="Times New Roman" w:hAnsi="Times New Roman" w:cs="Times New Roman"/>
          <w:b/>
        </w:rPr>
      </w:pPr>
    </w:p>
    <w:p w:rsidR="00D30E9A" w:rsidRPr="000A5BA0" w:rsidRDefault="00D30E9A" w:rsidP="00D30E9A">
      <w:pPr>
        <w:ind w:left="360"/>
        <w:jc w:val="center"/>
        <w:rPr>
          <w:rFonts w:ascii="Times New Roman" w:hAnsi="Times New Roman" w:cs="Times New Roman"/>
        </w:rPr>
      </w:pPr>
      <w:r w:rsidRPr="000A5BA0">
        <w:rPr>
          <w:rFonts w:ascii="Times New Roman" w:hAnsi="Times New Roman" w:cs="Times New Roman"/>
          <w:b/>
        </w:rPr>
        <w:t>RÉSZLETES INDOKOLÁS</w:t>
      </w:r>
    </w:p>
    <w:p w:rsidR="00D30E9A" w:rsidRPr="000A5BA0" w:rsidRDefault="00D30E9A" w:rsidP="00D30E9A">
      <w:pPr>
        <w:ind w:left="360"/>
        <w:jc w:val="center"/>
        <w:rPr>
          <w:rFonts w:ascii="Times New Roman" w:hAnsi="Times New Roman" w:cs="Times New Roman"/>
        </w:rPr>
      </w:pPr>
    </w:p>
    <w:p w:rsidR="00D30E9A" w:rsidRPr="000A5BA0" w:rsidRDefault="00D30E9A" w:rsidP="00D30E9A">
      <w:pPr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</w:rPr>
      </w:pPr>
      <w:r w:rsidRPr="000A5BA0">
        <w:rPr>
          <w:rFonts w:ascii="Times New Roman" w:hAnsi="Times New Roman" w:cs="Times New Roman"/>
          <w:b/>
        </w:rPr>
        <w:t>§</w:t>
      </w:r>
      <w:proofErr w:type="spellStart"/>
      <w:r w:rsidRPr="000A5BA0">
        <w:rPr>
          <w:rFonts w:ascii="Times New Roman" w:hAnsi="Times New Roman" w:cs="Times New Roman"/>
          <w:b/>
        </w:rPr>
        <w:t>-hoz</w:t>
      </w:r>
      <w:proofErr w:type="spellEnd"/>
    </w:p>
    <w:p w:rsidR="00D30E9A" w:rsidRPr="000A5BA0" w:rsidRDefault="00D30E9A" w:rsidP="00D30E9A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1. § tartalmazza a rendelet személyi hatályát. A közszolgálati tisztviselőkről szóló 2011. évi CXCIX. törvény (a továbbiakban: </w:t>
      </w:r>
      <w:proofErr w:type="spellStart"/>
      <w:r>
        <w:rPr>
          <w:rFonts w:ascii="Times New Roman" w:hAnsi="Times New Roman" w:cs="Times New Roman"/>
        </w:rPr>
        <w:t>Kttv</w:t>
      </w:r>
      <w:proofErr w:type="spellEnd"/>
      <w:r>
        <w:rPr>
          <w:rFonts w:ascii="Times New Roman" w:hAnsi="Times New Roman" w:cs="Times New Roman"/>
        </w:rPr>
        <w:t>.) 234. § (3)-(4) bekezdései alapján a helyi önkormányzat rendeletben egységesen valamennyi felsőfokú iskolai végzettségű köztisztviselőnek, illetve egységesen valamennyi érettségi végzettségű köztisztviselőnek illetménykiegészítést állapíthat meg.</w:t>
      </w:r>
    </w:p>
    <w:p w:rsidR="00D30E9A" w:rsidRPr="000A5BA0" w:rsidRDefault="00D30E9A" w:rsidP="00D30E9A">
      <w:pPr>
        <w:ind w:left="360"/>
        <w:jc w:val="both"/>
        <w:rPr>
          <w:rFonts w:ascii="Times New Roman" w:hAnsi="Times New Roman" w:cs="Times New Roman"/>
        </w:rPr>
      </w:pPr>
    </w:p>
    <w:p w:rsidR="00D30E9A" w:rsidRPr="000A5BA0" w:rsidRDefault="00D30E9A" w:rsidP="00D30E9A">
      <w:pPr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</w:rPr>
      </w:pPr>
      <w:r w:rsidRPr="000A5BA0">
        <w:rPr>
          <w:rFonts w:ascii="Times New Roman" w:hAnsi="Times New Roman" w:cs="Times New Roman"/>
          <w:b/>
        </w:rPr>
        <w:t>§</w:t>
      </w:r>
      <w:proofErr w:type="spellStart"/>
      <w:r w:rsidRPr="000A5BA0">
        <w:rPr>
          <w:rFonts w:ascii="Times New Roman" w:hAnsi="Times New Roman" w:cs="Times New Roman"/>
          <w:b/>
        </w:rPr>
        <w:t>-hoz</w:t>
      </w:r>
      <w:proofErr w:type="spellEnd"/>
    </w:p>
    <w:p w:rsidR="00D30E9A" w:rsidRPr="000A5BA0" w:rsidRDefault="00D30E9A" w:rsidP="00D30E9A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Ez a szakasz állapítja meg az illetménykiegészítés mértékét a </w:t>
      </w:r>
      <w:proofErr w:type="spellStart"/>
      <w:r>
        <w:rPr>
          <w:rFonts w:ascii="Times New Roman" w:hAnsi="Times New Roman" w:cs="Times New Roman"/>
        </w:rPr>
        <w:t>Kttv.-ben</w:t>
      </w:r>
      <w:proofErr w:type="spellEnd"/>
      <w:r>
        <w:rPr>
          <w:rFonts w:ascii="Times New Roman" w:hAnsi="Times New Roman" w:cs="Times New Roman"/>
        </w:rPr>
        <w:t xml:space="preserve"> meghatározott maximális mértékben.</w:t>
      </w:r>
    </w:p>
    <w:p w:rsidR="00D30E9A" w:rsidRPr="000A5BA0" w:rsidRDefault="00D30E9A" w:rsidP="00D30E9A">
      <w:pPr>
        <w:ind w:left="360"/>
        <w:jc w:val="both"/>
        <w:rPr>
          <w:rFonts w:ascii="Times New Roman" w:hAnsi="Times New Roman" w:cs="Times New Roman"/>
        </w:rPr>
      </w:pPr>
    </w:p>
    <w:p w:rsidR="00D30E9A" w:rsidRPr="000A5BA0" w:rsidRDefault="00D30E9A" w:rsidP="00D30E9A">
      <w:pPr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</w:rPr>
      </w:pPr>
      <w:r w:rsidRPr="000A5BA0">
        <w:rPr>
          <w:rFonts w:ascii="Times New Roman" w:hAnsi="Times New Roman" w:cs="Times New Roman"/>
          <w:b/>
        </w:rPr>
        <w:t>§</w:t>
      </w:r>
      <w:proofErr w:type="spellStart"/>
      <w:r w:rsidRPr="000A5BA0">
        <w:rPr>
          <w:rFonts w:ascii="Times New Roman" w:hAnsi="Times New Roman" w:cs="Times New Roman"/>
          <w:b/>
        </w:rPr>
        <w:t>-hoz</w:t>
      </w:r>
      <w:proofErr w:type="spellEnd"/>
    </w:p>
    <w:p w:rsidR="00D30E9A" w:rsidRDefault="00D30E9A" w:rsidP="00D30E9A">
      <w:pPr>
        <w:ind w:left="360"/>
        <w:jc w:val="both"/>
        <w:rPr>
          <w:rFonts w:ascii="Times New Roman" w:hAnsi="Times New Roman" w:cs="Times New Roman"/>
        </w:rPr>
      </w:pPr>
      <w:r w:rsidRPr="000A5BA0">
        <w:rPr>
          <w:rFonts w:ascii="Times New Roman" w:hAnsi="Times New Roman" w:cs="Times New Roman"/>
        </w:rPr>
        <w:t>A 3. § rendelkezik a rendelet időbeli hatályáról.</w:t>
      </w:r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Kttv</w:t>
      </w:r>
      <w:proofErr w:type="spellEnd"/>
      <w:r>
        <w:rPr>
          <w:rFonts w:ascii="Times New Roman" w:hAnsi="Times New Roman" w:cs="Times New Roman"/>
        </w:rPr>
        <w:t>. felhatalmazása alapján a helyi önkormányzat az illetménykiegészítést a tárgyévre állapíthatja meg.</w:t>
      </w:r>
    </w:p>
    <w:p w:rsidR="00D30E9A" w:rsidRDefault="00D30E9A" w:rsidP="00D30E9A">
      <w:pPr>
        <w:ind w:left="360"/>
        <w:jc w:val="both"/>
        <w:rPr>
          <w:rFonts w:ascii="Times New Roman" w:hAnsi="Times New Roman" w:cs="Times New Roman"/>
        </w:rPr>
      </w:pPr>
    </w:p>
    <w:p w:rsidR="00D30E9A" w:rsidRDefault="00D30E9A" w:rsidP="00D30E9A">
      <w:pPr>
        <w:ind w:left="360"/>
        <w:jc w:val="both"/>
        <w:rPr>
          <w:rFonts w:ascii="Times New Roman" w:hAnsi="Times New Roman" w:cs="Times New Roman"/>
        </w:rPr>
      </w:pPr>
    </w:p>
    <w:p w:rsidR="00D30E9A" w:rsidRDefault="00D30E9A" w:rsidP="00D30E9A">
      <w:pPr>
        <w:ind w:left="360"/>
        <w:jc w:val="both"/>
        <w:rPr>
          <w:rFonts w:ascii="Times New Roman" w:hAnsi="Times New Roman" w:cs="Times New Roman"/>
        </w:rPr>
      </w:pPr>
    </w:p>
    <w:p w:rsidR="00D30E9A" w:rsidRDefault="00D30E9A" w:rsidP="00D30E9A">
      <w:pPr>
        <w:ind w:left="360"/>
        <w:jc w:val="both"/>
        <w:rPr>
          <w:rFonts w:ascii="Times New Roman" w:hAnsi="Times New Roman" w:cs="Times New Roman"/>
        </w:rPr>
      </w:pPr>
    </w:p>
    <w:p w:rsidR="00D30E9A" w:rsidRDefault="00D30E9A" w:rsidP="00D30E9A">
      <w:pPr>
        <w:ind w:left="360"/>
        <w:jc w:val="both"/>
        <w:rPr>
          <w:rFonts w:ascii="Times New Roman" w:hAnsi="Times New Roman" w:cs="Times New Roman"/>
        </w:rPr>
      </w:pPr>
    </w:p>
    <w:p w:rsidR="00D30E9A" w:rsidRDefault="00D30E9A" w:rsidP="00D30E9A">
      <w:pPr>
        <w:ind w:left="360"/>
        <w:jc w:val="both"/>
        <w:rPr>
          <w:rFonts w:ascii="Times New Roman" w:hAnsi="Times New Roman" w:cs="Times New Roman"/>
        </w:rPr>
      </w:pPr>
    </w:p>
    <w:p w:rsidR="003C7176" w:rsidRDefault="003C7176">
      <w:bookmarkStart w:id="0" w:name="_GoBack"/>
      <w:bookmarkEnd w:id="0"/>
    </w:p>
    <w:sectPr w:rsidR="003C7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9A"/>
    <w:rsid w:val="003C7176"/>
    <w:rsid w:val="00D3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572A1-D52C-4402-8EAA-034EBE1D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30E9A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Major Andrea</dc:creator>
  <cp:keywords/>
  <dc:description/>
  <cp:lastModifiedBy>Major Andrea</cp:lastModifiedBy>
  <cp:revision>1</cp:revision>
  <dcterms:created xsi:type="dcterms:W3CDTF">2020-12-22T07:43:00Z</dcterms:created>
  <dcterms:modified xsi:type="dcterms:W3CDTF">2020-12-22T07:44:00Z</dcterms:modified>
</cp:coreProperties>
</file>