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6E" w:rsidRDefault="0084626E">
      <w:pPr>
        <w:pStyle w:val="Alaprtelmezett"/>
        <w:jc w:val="center"/>
      </w:pPr>
    </w:p>
    <w:p w:rsidR="0084626E" w:rsidRDefault="00D9422F">
      <w:pPr>
        <w:pStyle w:val="Alaprtelmezett"/>
        <w:jc w:val="right"/>
      </w:pPr>
      <w:r>
        <w:rPr>
          <w:b/>
          <w:bCs/>
          <w:iCs/>
        </w:rPr>
        <w:t xml:space="preserve">5. melléklet </w:t>
      </w:r>
      <w:r>
        <w:rPr>
          <w:rFonts w:eastAsia="Times New Roman" w:cs="Times New Roman"/>
          <w:b/>
          <w:bCs/>
        </w:rPr>
        <w:t>az 1/2018. (I. 25.) önkormányzati rendelethez</w:t>
      </w:r>
      <w:bookmarkStart w:id="0" w:name="_GoBack"/>
      <w:bookmarkEnd w:id="0"/>
    </w:p>
    <w:p w:rsidR="0084626E" w:rsidRDefault="0084626E">
      <w:pPr>
        <w:pStyle w:val="Alaprtelmezett"/>
        <w:jc w:val="right"/>
      </w:pPr>
    </w:p>
    <w:p w:rsidR="0084626E" w:rsidRDefault="0084626E">
      <w:pPr>
        <w:pStyle w:val="Alaprtelmezett"/>
        <w:jc w:val="both"/>
      </w:pPr>
    </w:p>
    <w:p w:rsidR="0084626E" w:rsidRDefault="00D9422F">
      <w:pPr>
        <w:pStyle w:val="Alaprtelmezett"/>
        <w:jc w:val="both"/>
      </w:pPr>
      <w:r>
        <w:rPr>
          <w:bCs/>
        </w:rPr>
        <w:t>A város közterületének r</w:t>
      </w:r>
      <w:r>
        <w:rPr>
          <w:bCs/>
          <w:color w:val="000000"/>
        </w:rPr>
        <w:t>endjével, használatával és hasznosításával kapcsolatos helyi előírásokról szóló 28/2010. (VII. 14.) önkormányzati rendelet</w:t>
      </w:r>
      <w:r>
        <w:rPr>
          <w:bCs/>
        </w:rPr>
        <w:t xml:space="preserve"> 1. mellékletében foglalt táblázat 7.-7.5 sora </w:t>
      </w:r>
      <w:r>
        <w:rPr>
          <w:bCs/>
        </w:rPr>
        <w:t>helyébe a következő rendelkezések lépnek:</w:t>
      </w:r>
    </w:p>
    <w:p w:rsidR="0084626E" w:rsidRDefault="0084626E">
      <w:pPr>
        <w:pStyle w:val="Alaprtelmezett"/>
      </w:pPr>
    </w:p>
    <w:p w:rsidR="0084626E" w:rsidRDefault="0084626E">
      <w:pPr>
        <w:pStyle w:val="Alaprtelmezett"/>
        <w:jc w:val="both"/>
      </w:pPr>
    </w:p>
    <w:tbl>
      <w:tblPr>
        <w:tblW w:w="0" w:type="auto"/>
        <w:tblInd w:w="-3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2479"/>
        <w:gridCol w:w="1023"/>
        <w:gridCol w:w="938"/>
        <w:gridCol w:w="938"/>
        <w:gridCol w:w="987"/>
        <w:gridCol w:w="956"/>
        <w:gridCol w:w="1077"/>
      </w:tblGrid>
      <w:tr w:rsidR="0084626E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6E" w:rsidRDefault="0084626E">
            <w:pPr>
              <w:pStyle w:val="Alaprtelmezett"/>
              <w:jc w:val="both"/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widowControl/>
              <w:suppressAutoHyphens w:val="0"/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[A</w:t>
            </w:r>
          </w:p>
        </w:tc>
        <w:tc>
          <w:tcPr>
            <w:tcW w:w="102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C</w:t>
            </w:r>
          </w:p>
        </w:tc>
        <w:tc>
          <w:tcPr>
            <w:tcW w:w="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D</w:t>
            </w:r>
          </w:p>
        </w:tc>
        <w:tc>
          <w:tcPr>
            <w:tcW w:w="98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E</w:t>
            </w:r>
          </w:p>
        </w:tc>
        <w:tc>
          <w:tcPr>
            <w:tcW w:w="9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F</w:t>
            </w:r>
          </w:p>
        </w:tc>
        <w:tc>
          <w:tcPr>
            <w:tcW w:w="107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i/>
                <w:color w:val="000000"/>
                <w:sz w:val="22"/>
                <w:szCs w:val="22"/>
              </w:rPr>
              <w:t>G</w:t>
            </w:r>
          </w:p>
        </w:tc>
      </w:tr>
      <w:tr w:rsidR="0084626E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26E" w:rsidRDefault="0084626E">
            <w:pPr>
              <w:pStyle w:val="Alaprtelmezett"/>
              <w:jc w:val="both"/>
            </w:pP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Közterület foglalás célja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 xml:space="preserve">Egység 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I. övezet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II. övezet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III. övezet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IV. övezet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V. övezet]</w:t>
            </w:r>
          </w:p>
        </w:tc>
      </w:tr>
      <w:tr w:rsidR="0084626E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</w:pPr>
            <w:r>
              <w:rPr>
                <w:b/>
                <w:bCs/>
                <w:iCs/>
                <w:sz w:val="22"/>
              </w:rPr>
              <w:t>„</w:t>
            </w:r>
          </w:p>
        </w:tc>
        <w:tc>
          <w:tcPr>
            <w:tcW w:w="1632" w:type="dxa"/>
            <w:gridSpan w:val="7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84626E">
            <w:pPr>
              <w:pStyle w:val="Alaprtelmezett"/>
              <w:jc w:val="both"/>
            </w:pPr>
          </w:p>
        </w:tc>
      </w:tr>
      <w:tr w:rsidR="0084626E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7.</w:t>
            </w:r>
          </w:p>
        </w:tc>
        <w:tc>
          <w:tcPr>
            <w:tcW w:w="163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both"/>
            </w:pPr>
            <w:r>
              <w:rPr>
                <w:b/>
                <w:bCs/>
                <w:iCs/>
                <w:sz w:val="22"/>
              </w:rPr>
              <w:t xml:space="preserve">Közterület hirdetés, </w:t>
            </w:r>
            <w:proofErr w:type="gramStart"/>
            <w:r>
              <w:rPr>
                <w:b/>
                <w:bCs/>
                <w:iCs/>
                <w:sz w:val="22"/>
              </w:rPr>
              <w:t>reklámozás</w:t>
            </w:r>
            <w:proofErr w:type="gramEnd"/>
            <w:r>
              <w:rPr>
                <w:b/>
                <w:bCs/>
                <w:iCs/>
                <w:sz w:val="22"/>
              </w:rPr>
              <w:t xml:space="preserve"> céljára történő igénybevétele</w:t>
            </w:r>
          </w:p>
        </w:tc>
      </w:tr>
      <w:tr w:rsidR="0084626E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7.1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both"/>
            </w:pPr>
            <w:r>
              <w:rPr>
                <w:b/>
                <w:bCs/>
                <w:iCs/>
                <w:sz w:val="22"/>
              </w:rPr>
              <w:t xml:space="preserve">Utcabútoron és </w:t>
            </w:r>
            <w:proofErr w:type="gramStart"/>
            <w:r>
              <w:rPr>
                <w:b/>
                <w:bCs/>
                <w:iCs/>
                <w:sz w:val="22"/>
              </w:rPr>
              <w:t>információs</w:t>
            </w:r>
            <w:proofErr w:type="gramEnd"/>
            <w:r>
              <w:rPr>
                <w:b/>
                <w:bCs/>
                <w:iCs/>
                <w:sz w:val="22"/>
              </w:rPr>
              <w:t xml:space="preserve"> </w:t>
            </w:r>
            <w:r>
              <w:rPr>
                <w:b/>
                <w:bCs/>
                <w:iCs/>
                <w:sz w:val="22"/>
              </w:rPr>
              <w:t>célú berendezésen igénybe vett világító reklámfelület elhelyezése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Cs/>
                <w:iCs/>
                <w:sz w:val="22"/>
              </w:rPr>
              <w:t>Ft/m2/hó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2 495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2 360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2 220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1 910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1180</w:t>
            </w:r>
          </w:p>
        </w:tc>
      </w:tr>
      <w:tr w:rsidR="0084626E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7.2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both"/>
            </w:pPr>
            <w:r>
              <w:rPr>
                <w:b/>
                <w:bCs/>
                <w:iCs/>
                <w:sz w:val="22"/>
              </w:rPr>
              <w:t xml:space="preserve">Utcabútoron és </w:t>
            </w:r>
            <w:proofErr w:type="gramStart"/>
            <w:r>
              <w:rPr>
                <w:b/>
                <w:bCs/>
                <w:iCs/>
                <w:sz w:val="22"/>
              </w:rPr>
              <w:t>információs</w:t>
            </w:r>
            <w:proofErr w:type="gramEnd"/>
            <w:r>
              <w:rPr>
                <w:b/>
                <w:bCs/>
                <w:iCs/>
                <w:sz w:val="22"/>
              </w:rPr>
              <w:t xml:space="preserve"> célú berendezésen igénybe vett  világítás nélküli reklámfelület elhelyezése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Cs/>
                <w:iCs/>
                <w:sz w:val="22"/>
              </w:rPr>
              <w:t>Ft/m2/hó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2 360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2 220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1 910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1 620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740</w:t>
            </w:r>
          </w:p>
        </w:tc>
      </w:tr>
      <w:tr w:rsidR="0084626E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7.3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both"/>
            </w:pPr>
            <w:r>
              <w:rPr>
                <w:b/>
                <w:bCs/>
                <w:iCs/>
                <w:sz w:val="22"/>
              </w:rPr>
              <w:t>Egyéb műszaki berendezésen világító reklámfelület elhelyezése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Cs/>
                <w:iCs/>
                <w:sz w:val="22"/>
              </w:rPr>
              <w:t>Ft/m2/hó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2 360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2 220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1 910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1 620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740</w:t>
            </w:r>
          </w:p>
        </w:tc>
      </w:tr>
      <w:tr w:rsidR="0084626E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7.4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both"/>
            </w:pPr>
            <w:r>
              <w:rPr>
                <w:b/>
                <w:bCs/>
                <w:iCs/>
                <w:sz w:val="22"/>
              </w:rPr>
              <w:t>Egyéb műszaki berendezésen világítás nélküli reklámfelület elhelyezése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Cs/>
                <w:iCs/>
                <w:sz w:val="22"/>
              </w:rPr>
              <w:t>Ft/m2/hó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2290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2155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1855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1575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720</w:t>
            </w:r>
          </w:p>
        </w:tc>
      </w:tr>
      <w:tr w:rsidR="0084626E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7.5</w:t>
            </w:r>
          </w:p>
        </w:tc>
        <w:tc>
          <w:tcPr>
            <w:tcW w:w="2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both"/>
            </w:pPr>
            <w:r>
              <w:rPr>
                <w:b/>
                <w:bCs/>
                <w:iCs/>
                <w:sz w:val="22"/>
              </w:rPr>
              <w:t>Gazdasági útirányjelző tábla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Cs/>
                <w:iCs/>
                <w:sz w:val="22"/>
              </w:rPr>
              <w:t>Ft/m2/hó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615</w:t>
            </w:r>
          </w:p>
        </w:tc>
        <w:tc>
          <w:tcPr>
            <w:tcW w:w="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490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365</w:t>
            </w:r>
          </w:p>
        </w:tc>
        <w:tc>
          <w:tcPr>
            <w:tcW w:w="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245</w:t>
            </w:r>
          </w:p>
        </w:tc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26E" w:rsidRDefault="00D9422F">
            <w:pPr>
              <w:pStyle w:val="Alaprtelmezett"/>
              <w:jc w:val="center"/>
            </w:pPr>
            <w:r>
              <w:rPr>
                <w:b/>
                <w:bCs/>
                <w:iCs/>
                <w:sz w:val="22"/>
              </w:rPr>
              <w:t>125</w:t>
            </w:r>
          </w:p>
        </w:tc>
      </w:tr>
    </w:tbl>
    <w:p w:rsidR="0084626E" w:rsidRDefault="00D9422F">
      <w:pPr>
        <w:pStyle w:val="Alaprtelmezett"/>
        <w:jc w:val="right"/>
      </w:pPr>
      <w:r>
        <w:rPr>
          <w:b/>
          <w:bCs/>
          <w:iCs/>
          <w:sz w:val="22"/>
        </w:rPr>
        <w:t>„</w:t>
      </w:r>
    </w:p>
    <w:p w:rsidR="0084626E" w:rsidRDefault="0084626E">
      <w:pPr>
        <w:pStyle w:val="Alaprtelmezett"/>
      </w:pPr>
    </w:p>
    <w:sectPr w:rsidR="0084626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626E"/>
    <w:rsid w:val="0084626E"/>
    <w:rsid w:val="00D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9C2AA-01B2-4040-A402-A83DDBC0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msor">
    <w:name w:val="Címsor"/>
    <w:basedOn w:val="Alaprtelmezett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Alaprtelmezett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Alaprtelmezett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Alaprtelmezett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Bara Ede</dc:creator>
  <cp:lastModifiedBy>Szilágyi Béla</cp:lastModifiedBy>
  <cp:revision>9</cp:revision>
  <dcterms:created xsi:type="dcterms:W3CDTF">2018-01-08T12:54:00Z</dcterms:created>
  <dcterms:modified xsi:type="dcterms:W3CDTF">2018-01-29T14:32:00Z</dcterms:modified>
</cp:coreProperties>
</file>