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61" w:rsidRDefault="00467C61" w:rsidP="00467C61">
      <w:pPr>
        <w:rPr>
          <w:i/>
        </w:rPr>
      </w:pPr>
      <w:r>
        <w:rPr>
          <w:i/>
        </w:rPr>
        <w:t>1. melléklet a 3/2004.(II.09.) rendelet módosításáról szóló rendelet-tervezethez</w:t>
      </w:r>
    </w:p>
    <w:p w:rsidR="00467C61" w:rsidRDefault="00467C61" w:rsidP="00467C61">
      <w:pPr>
        <w:rPr>
          <w:i/>
        </w:rPr>
      </w:pPr>
    </w:p>
    <w:p w:rsidR="00467C61" w:rsidRDefault="00467C61" w:rsidP="00467C61">
      <w:pPr>
        <w:rPr>
          <w:i/>
        </w:rPr>
      </w:pPr>
    </w:p>
    <w:p w:rsidR="00467C61" w:rsidRDefault="00467C61" w:rsidP="00467C61">
      <w:pPr>
        <w:rPr>
          <w:i/>
        </w:rPr>
      </w:pPr>
    </w:p>
    <w:p w:rsidR="00467C61" w:rsidRDefault="00467C61" w:rsidP="00467C61">
      <w:pPr>
        <w:pStyle w:val="Cmsor1"/>
        <w:numPr>
          <w:ilvl w:val="0"/>
          <w:numId w:val="1"/>
        </w:numPr>
        <w:spacing w:before="240"/>
        <w:jc w:val="center"/>
      </w:pPr>
      <w:r>
        <w:t>A SOMOGY KÉMÉNYSEPRŐ-MESTER KFT. KÖZSZOLGÁLTATÓ</w:t>
      </w:r>
    </w:p>
    <w:p w:rsidR="00467C61" w:rsidRDefault="00467C61" w:rsidP="00467C61">
      <w:pPr>
        <w:jc w:val="center"/>
        <w:rPr>
          <w:sz w:val="28"/>
        </w:rPr>
      </w:pPr>
      <w:r>
        <w:rPr>
          <w:sz w:val="28"/>
        </w:rPr>
        <w:t>2015. január 1-től érvényes</w:t>
      </w:r>
    </w:p>
    <w:p w:rsidR="00467C61" w:rsidRDefault="00467C61" w:rsidP="00467C61">
      <w:pPr>
        <w:pStyle w:val="Cmsor2"/>
      </w:pPr>
      <w:r>
        <w:t>DÍJAK</w:t>
      </w:r>
    </w:p>
    <w:p w:rsidR="00467C61" w:rsidRDefault="00467C61" w:rsidP="00467C61">
      <w:pPr>
        <w:pStyle w:val="Cmsor2"/>
        <w:rPr>
          <w:b w:val="0"/>
        </w:rPr>
      </w:pPr>
      <w:r>
        <w:t>Nagycsepely</w:t>
      </w:r>
    </w:p>
    <w:p w:rsidR="00467C61" w:rsidRDefault="00467C61" w:rsidP="00467C61">
      <w:pPr>
        <w:jc w:val="center"/>
        <w:rPr>
          <w:sz w:val="28"/>
        </w:rPr>
      </w:pPr>
    </w:p>
    <w:p w:rsidR="00467C61" w:rsidRDefault="00467C61" w:rsidP="00467C61">
      <w:r>
        <w:tab/>
      </w:r>
      <w:r>
        <w:tab/>
      </w:r>
      <w:r>
        <w:tab/>
      </w:r>
    </w:p>
    <w:p w:rsidR="00467C61" w:rsidRDefault="00467C61" w:rsidP="00467C61">
      <w:pPr>
        <w:jc w:val="center"/>
        <w:rPr>
          <w:b/>
        </w:rPr>
      </w:pPr>
      <w:r>
        <w:rPr>
          <w:b/>
        </w:rPr>
        <w:t>A díjjegyzék a 347/2012. (XII.11.) Kormányrendelet alapján készült, de összhangban a 2013. évi XLIII. örvény 15-16§</w:t>
      </w:r>
      <w:proofErr w:type="spellStart"/>
      <w:r>
        <w:rPr>
          <w:b/>
        </w:rPr>
        <w:t>-ával</w:t>
      </w:r>
      <w:proofErr w:type="spellEnd"/>
    </w:p>
    <w:p w:rsidR="00467C61" w:rsidRDefault="00467C61" w:rsidP="00467C61">
      <w:pPr>
        <w:jc w:val="center"/>
        <w:rPr>
          <w:b/>
        </w:rPr>
      </w:pPr>
    </w:p>
    <w:p w:rsidR="00467C61" w:rsidRDefault="00467C61" w:rsidP="00467C61">
      <w:pPr>
        <w:jc w:val="center"/>
        <w:rPr>
          <w:b/>
        </w:rPr>
      </w:pPr>
      <w:r>
        <w:rPr>
          <w:b/>
        </w:rPr>
        <w:t xml:space="preserve">Nagycsepely község területén alkalmazandó ÁTLAGOS </w:t>
      </w:r>
      <w:proofErr w:type="spellStart"/>
      <w:r>
        <w:rPr>
          <w:b/>
        </w:rPr>
        <w:t>egységráfordítási</w:t>
      </w:r>
      <w:proofErr w:type="spellEnd"/>
      <w:r>
        <w:rPr>
          <w:b/>
        </w:rPr>
        <w:t xml:space="preserve"> díj: </w:t>
      </w:r>
      <w:r>
        <w:rPr>
          <w:b/>
          <w:sz w:val="28"/>
          <w:szCs w:val="28"/>
        </w:rPr>
        <w:t>1340,</w:t>
      </w:r>
      <w:proofErr w:type="spellStart"/>
      <w:r>
        <w:rPr>
          <w:b/>
          <w:sz w:val="28"/>
          <w:szCs w:val="28"/>
        </w:rPr>
        <w:t>-ft</w:t>
      </w:r>
      <w:proofErr w:type="spellEnd"/>
      <w:r>
        <w:rPr>
          <w:b/>
        </w:rPr>
        <w:t xml:space="preserve"> </w:t>
      </w:r>
    </w:p>
    <w:p w:rsidR="00467C61" w:rsidRDefault="00467C61" w:rsidP="00467C61">
      <w:pPr>
        <w:jc w:val="center"/>
        <w:rPr>
          <w:b/>
        </w:rPr>
      </w:pPr>
    </w:p>
    <w:p w:rsidR="00467C61" w:rsidRDefault="00467C61" w:rsidP="00467C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táblázat díjai megegyeznek a 2014. évi díjakkal.</w:t>
      </w:r>
    </w:p>
    <w:p w:rsidR="00467C61" w:rsidRDefault="00467C61" w:rsidP="00467C61">
      <w:pPr>
        <w:jc w:val="center"/>
        <w:rPr>
          <w:b/>
        </w:rPr>
      </w:pPr>
    </w:p>
    <w:p w:rsidR="00467C61" w:rsidRDefault="00467C61" w:rsidP="00467C61">
      <w:pPr>
        <w:jc w:val="center"/>
        <w:rPr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320"/>
        <w:gridCol w:w="1080"/>
        <w:gridCol w:w="1440"/>
        <w:gridCol w:w="1204"/>
        <w:gridCol w:w="1556"/>
        <w:gridCol w:w="1580"/>
      </w:tblGrid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</w:pPr>
          </w:p>
        </w:tc>
        <w:tc>
          <w:tcPr>
            <w:tcW w:w="8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 xml:space="preserve"> Tevékenységek</w:t>
            </w:r>
          </w:p>
        </w:tc>
      </w:tr>
      <w:tr w:rsidR="00467C61" w:rsidTr="00345550"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spacing w:before="120"/>
              <w:ind w:right="56"/>
              <w:jc w:val="center"/>
            </w:pPr>
            <w:r>
              <w:t>Égéstermék-elvezetők jele**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>Égéstermék elvezető ellenőrzés, szükség szerinti tisztítás és műszaki felülvizsgálat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>Égéstermék elvezető ellenőrzés, szükség szerinti tisztítás és műszaki felülvizsgálat</w:t>
            </w:r>
          </w:p>
          <w:p w:rsidR="00467C61" w:rsidRDefault="00467C61" w:rsidP="00345550">
            <w:pPr>
              <w:autoSpaceDE w:val="0"/>
              <w:ind w:left="56" w:right="56"/>
              <w:jc w:val="center"/>
            </w:pP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>Égéstermék elvezető ellenőrzés, szükség szerinti tisztítás és műszaki felülvizsgálat</w:t>
            </w:r>
          </w:p>
        </w:tc>
      </w:tr>
      <w:tr w:rsidR="00467C61" w:rsidTr="00345550"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spacing w:before="120"/>
              <w:ind w:left="56" w:right="56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 xml:space="preserve">Nettó díj </w:t>
            </w:r>
          </w:p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ft</w:t>
            </w:r>
            <w:proofErr w:type="spellEnd"/>
            <w: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>egység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ÁFA</w:t>
            </w:r>
          </w:p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rPr>
                <w:b/>
              </w:rPr>
              <w:t>27%</w:t>
            </w:r>
            <w:r>
              <w:t>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>egység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 xml:space="preserve">Bruttó díj </w:t>
            </w:r>
          </w:p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ft</w:t>
            </w:r>
            <w:proofErr w:type="spellEnd"/>
            <w:r>
              <w:t>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>egység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ENHS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527,-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142,-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669,-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ENHG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837,-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226,-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1063,-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KNHS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640,-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173,-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813,-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KNHG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640,-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173,-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813,-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NNHS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1920,-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518,-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2438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NNHG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1920,-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518,-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2438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ENTS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527,-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142,-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669,-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ENTG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837,-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226,-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1063,-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KNTS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640,-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173,-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813,-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KNTG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640,-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173,-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813,-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NNTS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1920,-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518,-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2438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lastRenderedPageBreak/>
              <w:t xml:space="preserve"> NNTG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1920,-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518,-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2438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EZHS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527,-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142,-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669,-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EZHG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837,-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226,-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1063,-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KZHS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640,-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173,-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813,-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KZHG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640,-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173,-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813,-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NZHS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1920,-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518,-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2438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NZHG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1920,-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518,-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2438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EZTS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837,-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226,-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1063,-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EZTG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666,-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180,-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846,-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KZTS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640,-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173,-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813,-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KZTG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640,-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173,-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813,-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NZTS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1920,-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518,-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2438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NZTG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1920,-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518,-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2438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Ft./</w:t>
            </w:r>
            <w:proofErr w:type="spellStart"/>
            <w:r>
              <w:rPr>
                <w:b/>
              </w:rPr>
              <w:t>fm</w:t>
            </w:r>
            <w:proofErr w:type="spellEnd"/>
            <w:r>
              <w:rPr>
                <w:b/>
              </w:rPr>
              <w:t>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GNHS*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430,-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116,-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546,-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GNHG*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430,-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116,-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546,-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GZHS*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430,-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116,-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546,-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GZHG*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430,-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116,-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546,-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GZTS*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430,-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116,-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546,-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GZTG*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430,-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116,-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546,-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ET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360,-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97,-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457,-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KT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360,-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97,-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457,-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NT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360,-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97,-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457,-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</w:tr>
      <w:tr w:rsidR="00467C61" w:rsidTr="00345550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GT*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360,-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97,-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457,-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Ft/db/alkalom</w:t>
            </w:r>
          </w:p>
        </w:tc>
      </w:tr>
    </w:tbl>
    <w:p w:rsidR="00467C61" w:rsidRDefault="00467C61" w:rsidP="00467C61"/>
    <w:p w:rsidR="00467C61" w:rsidRDefault="00467C61" w:rsidP="00467C61"/>
    <w:p w:rsidR="00467C61" w:rsidRDefault="00467C61" w:rsidP="00467C61"/>
    <w:p w:rsidR="00467C61" w:rsidRDefault="00467C61" w:rsidP="00467C61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0"/>
        <w:gridCol w:w="1200"/>
        <w:gridCol w:w="1330"/>
        <w:gridCol w:w="25"/>
        <w:gridCol w:w="10"/>
      </w:tblGrid>
      <w:tr w:rsidR="00467C61" w:rsidTr="00345550"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lastRenderedPageBreak/>
              <w:t xml:space="preserve"> 1.5. Megrendelésre kötelező tevékenységek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</w:tcPr>
          <w:p w:rsidR="00467C61" w:rsidRDefault="00467C61" w:rsidP="00345550">
            <w:pPr>
              <w:snapToGrid w:val="0"/>
            </w:pPr>
          </w:p>
        </w:tc>
      </w:tr>
      <w:tr w:rsidR="00467C61" w:rsidTr="00345550"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A fenti közszolgáltatások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jc w:val="center"/>
            </w:pPr>
            <w:r>
              <w:t>Bruttó</w:t>
            </w: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</w:tcPr>
          <w:p w:rsidR="00467C61" w:rsidRDefault="00467C61" w:rsidP="00345550">
            <w:pPr>
              <w:snapToGrid w:val="0"/>
            </w:pPr>
          </w:p>
        </w:tc>
      </w:tr>
      <w:tr w:rsidR="00467C61" w:rsidTr="00345550"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A sormunka keretében feltárt az égéstermék-elvezető járatában lerakódott, csak égetéssel eltávolítható szurokréteg kiégetése külön egyeztetés </w:t>
            </w:r>
            <w:proofErr w:type="gramStart"/>
            <w:r>
              <w:t>alapján .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díjmentes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>Ft./db./óra</w:t>
            </w: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</w:tcPr>
          <w:p w:rsidR="00467C61" w:rsidRDefault="00467C61" w:rsidP="00345550">
            <w:pPr>
              <w:snapToGrid w:val="0"/>
            </w:pPr>
          </w:p>
        </w:tc>
      </w:tr>
      <w:tr w:rsidR="00467C61" w:rsidTr="00345550"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Közvetlen homlokzati égéstermék-kivezetéssel rendelkező tüzelőberendezések égéstermék-elvezetőjének ellenőrzése, </w:t>
            </w:r>
            <w:proofErr w:type="gramStart"/>
            <w:r>
              <w:t>tisztítása .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1063,-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>Ft./db.</w:t>
            </w: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</w:tcPr>
          <w:p w:rsidR="00467C61" w:rsidRDefault="00467C61" w:rsidP="00345550">
            <w:pPr>
              <w:snapToGrid w:val="0"/>
            </w:pPr>
          </w:p>
        </w:tc>
      </w:tr>
      <w:tr w:rsidR="00467C61" w:rsidTr="00345550"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A 10 000 cm</w:t>
            </w:r>
            <w:r>
              <w:rPr>
                <w:position w:val="10"/>
              </w:rPr>
              <w:t>2</w:t>
            </w:r>
            <w:r>
              <w:t xml:space="preserve"> feletti járat keresztmetszetű égéstermék-elvezető ellenőrzése tisztítása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1434,-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>Ft./</w:t>
            </w:r>
            <w:proofErr w:type="spellStart"/>
            <w:r>
              <w:t>fm</w:t>
            </w:r>
            <w:proofErr w:type="spellEnd"/>
            <w:r>
              <w:t>.</w:t>
            </w: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</w:tcPr>
          <w:p w:rsidR="00467C61" w:rsidRDefault="00467C61" w:rsidP="00345550">
            <w:pPr>
              <w:snapToGrid w:val="0"/>
            </w:pPr>
          </w:p>
        </w:tc>
      </w:tr>
      <w:tr w:rsidR="00467C61" w:rsidTr="00345550"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A 1.5. pont alatti tevékenységeket további kiszállási díj terheli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>1700,-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>Ft</w:t>
            </w: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</w:tcPr>
          <w:p w:rsidR="00467C61" w:rsidRDefault="00467C61" w:rsidP="00345550">
            <w:pPr>
              <w:snapToGrid w:val="0"/>
            </w:pPr>
          </w:p>
        </w:tc>
      </w:tr>
      <w:tr w:rsidR="00467C61" w:rsidTr="00345550">
        <w:trPr>
          <w:gridAfter w:val="1"/>
          <w:wAfter w:w="10" w:type="dxa"/>
        </w:trPr>
        <w:tc>
          <w:tcPr>
            <w:tcW w:w="9635" w:type="dxa"/>
            <w:gridSpan w:val="4"/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>* Mellékcsatornás gyűjtő jellegű égéstermék-elvezető esetében a mellékcsatornát plusz szintnek kell tekinteni.</w:t>
            </w:r>
          </w:p>
          <w:p w:rsidR="00467C61" w:rsidRDefault="00467C61" w:rsidP="00345550">
            <w:pPr>
              <w:autoSpaceDE w:val="0"/>
              <w:ind w:left="56" w:right="56"/>
            </w:pPr>
            <w:r>
              <w:t>** A jelölés magyarázatát a 2. melléklet 4 pontja tartalmazza</w:t>
            </w:r>
          </w:p>
        </w:tc>
      </w:tr>
    </w:tbl>
    <w:p w:rsidR="00467C61" w:rsidRDefault="00467C61" w:rsidP="00467C61"/>
    <w:p w:rsidR="00467C61" w:rsidRDefault="00467C61" w:rsidP="00467C61">
      <w:pPr>
        <w:autoSpaceDE w:val="0"/>
        <w:spacing w:before="240"/>
        <w:ind w:firstLine="204"/>
        <w:jc w:val="both"/>
        <w:rPr>
          <w:b/>
        </w:rPr>
      </w:pPr>
      <w:r>
        <w:rPr>
          <w:b/>
        </w:rPr>
        <w:t>2. A törvény 6. § (2) bekezdésében meghatározott műszaki vizsgálatok díja: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0"/>
        <w:gridCol w:w="1606"/>
        <w:gridCol w:w="1606"/>
        <w:gridCol w:w="1606"/>
        <w:gridCol w:w="1606"/>
        <w:gridCol w:w="1626"/>
      </w:tblGrid>
      <w:tr w:rsidR="00467C61" w:rsidTr="00345550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jc w:val="center"/>
            </w:pPr>
          </w:p>
          <w:p w:rsidR="00467C61" w:rsidRDefault="00467C61" w:rsidP="00345550">
            <w:pPr>
              <w:autoSpaceDE w:val="0"/>
              <w:jc w:val="center"/>
            </w:pPr>
          </w:p>
          <w:p w:rsidR="00467C61" w:rsidRDefault="00467C61" w:rsidP="00345550">
            <w:pPr>
              <w:autoSpaceDE w:val="0"/>
              <w:jc w:val="center"/>
            </w:pPr>
            <w:r>
              <w:t>Égéstermék-elvezetők jele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spacing w:before="120"/>
              <w:ind w:left="56" w:right="56"/>
              <w:jc w:val="center"/>
            </w:pPr>
            <w:r>
              <w:t xml:space="preserve"> </w:t>
            </w:r>
            <w:r>
              <w:br/>
              <w:t>ENH</w:t>
            </w:r>
            <w:r>
              <w:br/>
              <w:t>ENT</w:t>
            </w:r>
            <w:r>
              <w:br/>
              <w:t>ET</w:t>
            </w:r>
          </w:p>
          <w:p w:rsidR="00467C61" w:rsidRDefault="00467C61" w:rsidP="00345550">
            <w:pPr>
              <w:autoSpaceDE w:val="0"/>
              <w:snapToGrid w:val="0"/>
              <w:spacing w:before="120"/>
              <w:ind w:right="56"/>
              <w:jc w:val="center"/>
            </w:pPr>
          </w:p>
          <w:p w:rsidR="00467C61" w:rsidRDefault="00467C61" w:rsidP="00345550">
            <w:pPr>
              <w:autoSpaceDE w:val="0"/>
              <w:snapToGrid w:val="0"/>
              <w:spacing w:before="120"/>
              <w:ind w:right="56"/>
              <w:jc w:val="center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 xml:space="preserve">  </w:t>
            </w:r>
            <w:r>
              <w:br/>
              <w:t xml:space="preserve"> </w:t>
            </w:r>
            <w:r>
              <w:br/>
              <w:t>EZH</w:t>
            </w:r>
            <w:r>
              <w:br/>
              <w:t>EZT</w:t>
            </w:r>
          </w:p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</w:p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</w:p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>1,16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 xml:space="preserve">  </w:t>
            </w:r>
            <w:r>
              <w:br/>
              <w:t>GNH</w:t>
            </w:r>
            <w:r>
              <w:br/>
              <w:t>GZH</w:t>
            </w:r>
            <w:r>
              <w:br/>
              <w:t>GZT</w:t>
            </w:r>
            <w:r>
              <w:br/>
              <w:t>GT</w:t>
            </w:r>
          </w:p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</w:p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>0,4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 xml:space="preserve"> KNH</w:t>
            </w:r>
            <w:r>
              <w:br/>
              <w:t>KNT</w:t>
            </w:r>
            <w:r>
              <w:br/>
              <w:t>KT</w:t>
            </w:r>
            <w:r>
              <w:br/>
              <w:t>NNH</w:t>
            </w:r>
            <w:r>
              <w:br/>
              <w:t>NNT</w:t>
            </w:r>
            <w:r>
              <w:br/>
              <w:t>NT</w:t>
            </w:r>
          </w:p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>2,6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 xml:space="preserve">  </w:t>
            </w:r>
            <w:r>
              <w:br/>
              <w:t>KZH</w:t>
            </w:r>
            <w:r>
              <w:br/>
              <w:t>KZT</w:t>
            </w:r>
            <w:r>
              <w:br/>
              <w:t>NZH</w:t>
            </w:r>
            <w:r>
              <w:br/>
              <w:t>NZT</w:t>
            </w:r>
          </w:p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</w:p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>3,4</w:t>
            </w:r>
          </w:p>
        </w:tc>
      </w:tr>
      <w:tr w:rsidR="00467C61" w:rsidTr="00345550"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2.1. Új égéstermék-elvezetők kivitelezés közbeni, eltakarás előtti vizsgálata</w:t>
            </w:r>
          </w:p>
        </w:tc>
      </w:tr>
      <w:tr w:rsidR="00467C61" w:rsidTr="00345550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rPr>
                <w:b/>
              </w:rPr>
              <w:t>7317,-</w:t>
            </w:r>
            <w:r>
              <w:t xml:space="preserve"> Ft./db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rPr>
                <w:b/>
              </w:rPr>
              <w:t>7317,-</w:t>
            </w:r>
            <w:r>
              <w:t xml:space="preserve"> Ft./db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rPr>
                <w:b/>
              </w:rPr>
              <w:t>5733,-</w:t>
            </w:r>
            <w:r>
              <w:t xml:space="preserve"> Ft./szint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rPr>
                <w:b/>
              </w:rPr>
              <w:t>10368</w:t>
            </w:r>
            <w:r>
              <w:t xml:space="preserve"> Ft./db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rPr>
                <w:b/>
              </w:rPr>
              <w:t>10368</w:t>
            </w:r>
            <w:r>
              <w:t xml:space="preserve">  Ft./db</w:t>
            </w:r>
          </w:p>
        </w:tc>
      </w:tr>
      <w:tr w:rsidR="00467C61" w:rsidTr="00345550"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2.2. Újonnan épített vagy szerelt felújított, átalakított vagy újból használatba vett égéstermék-elvezetők üzembe helyezés előtti vizsgálata </w:t>
            </w:r>
          </w:p>
        </w:tc>
      </w:tr>
      <w:tr w:rsidR="00467C61" w:rsidTr="00345550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rPr>
                <w:b/>
              </w:rPr>
              <w:t>7317,-</w:t>
            </w:r>
            <w:r>
              <w:t xml:space="preserve"> Ft./db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rPr>
                <w:b/>
              </w:rPr>
              <w:t>7317,-</w:t>
            </w:r>
            <w:r>
              <w:t xml:space="preserve"> Ft./db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rPr>
                <w:b/>
              </w:rPr>
              <w:t>5733,-</w:t>
            </w:r>
            <w:r>
              <w:t xml:space="preserve"> Ft./szint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rPr>
                <w:b/>
              </w:rPr>
              <w:t>10368</w:t>
            </w:r>
            <w:r>
              <w:t xml:space="preserve"> Ft./db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rPr>
                <w:b/>
              </w:rPr>
              <w:t>10368</w:t>
            </w:r>
            <w:r>
              <w:t xml:space="preserve">  Ft./db</w:t>
            </w:r>
          </w:p>
        </w:tc>
      </w:tr>
      <w:tr w:rsidR="00467C61" w:rsidTr="00345550"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2.3. Tüzelőanyag váltás, tüzelőberendezés csere, új tüzelőberendezés üzembe helyezése esetén az üzembe helyezést megelőzően az érintett égéstermék-elvezetők vizsgálata</w:t>
            </w:r>
            <w:r>
              <w:br/>
            </w:r>
          </w:p>
        </w:tc>
      </w:tr>
      <w:tr w:rsidR="00467C61" w:rsidTr="00345550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rPr>
                <w:b/>
              </w:rPr>
              <w:t>7317,-</w:t>
            </w:r>
            <w:r>
              <w:t xml:space="preserve"> Ft./db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rPr>
                <w:b/>
              </w:rPr>
              <w:t>7317,-</w:t>
            </w:r>
            <w:r>
              <w:t xml:space="preserve"> Ft./db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rPr>
                <w:b/>
              </w:rPr>
              <w:t>5733,-</w:t>
            </w:r>
            <w:r>
              <w:t xml:space="preserve"> Ft./szint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rPr>
                <w:b/>
              </w:rPr>
              <w:t>10368</w:t>
            </w:r>
            <w:r>
              <w:t xml:space="preserve"> Ft./db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rPr>
                <w:b/>
              </w:rPr>
              <w:t>10368</w:t>
            </w:r>
            <w:r>
              <w:t xml:space="preserve">  Ft./db</w:t>
            </w:r>
          </w:p>
        </w:tc>
      </w:tr>
      <w:tr w:rsidR="00467C61" w:rsidTr="00345550"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2.4. Meglévő égéstermék-elvezető bontását, funkciójának megváltoztatását, használaton kívül helyezését, illetve az égéstermék-elvezetőt érintő átalakítást megelőző helyszíni vizsgálat</w:t>
            </w:r>
          </w:p>
          <w:p w:rsidR="00467C61" w:rsidRDefault="00467C61" w:rsidP="00345550">
            <w:pPr>
              <w:autoSpaceDE w:val="0"/>
              <w:snapToGrid w:val="0"/>
              <w:ind w:left="56" w:right="56"/>
            </w:pPr>
          </w:p>
        </w:tc>
      </w:tr>
      <w:tr w:rsidR="00467C61" w:rsidTr="00345550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rPr>
                <w:b/>
              </w:rPr>
              <w:t>7317,-</w:t>
            </w:r>
            <w:r>
              <w:t xml:space="preserve"> Ft./db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rPr>
                <w:b/>
              </w:rPr>
              <w:t>7317,-</w:t>
            </w:r>
            <w:r>
              <w:t xml:space="preserve"> Ft./db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rPr>
                <w:b/>
              </w:rPr>
              <w:t>5733,-</w:t>
            </w:r>
            <w:r>
              <w:t xml:space="preserve"> Ft./szint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rPr>
                <w:b/>
              </w:rPr>
              <w:t>10368</w:t>
            </w:r>
            <w:r>
              <w:t xml:space="preserve"> Ft./db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rPr>
                <w:b/>
              </w:rPr>
              <w:t>10368</w:t>
            </w:r>
            <w:r>
              <w:t xml:space="preserve">  Ft./db</w:t>
            </w:r>
          </w:p>
        </w:tc>
      </w:tr>
      <w:tr w:rsidR="00467C61" w:rsidTr="00345550"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2.5. A 2.1.-2.4. pont alatti tevékenységeket további kiszállási díj terheli</w:t>
            </w:r>
          </w:p>
        </w:tc>
      </w:tr>
      <w:tr w:rsidR="00467C61" w:rsidTr="00345550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8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rPr>
                <w:b/>
              </w:rPr>
              <w:t>1700,-</w:t>
            </w:r>
            <w:r>
              <w:t xml:space="preserve"> Ft</w:t>
            </w:r>
          </w:p>
        </w:tc>
      </w:tr>
    </w:tbl>
    <w:p w:rsidR="00467C61" w:rsidRDefault="00467C61" w:rsidP="00467C61">
      <w:pPr>
        <w:autoSpaceDE w:val="0"/>
        <w:spacing w:before="240"/>
        <w:ind w:firstLine="204"/>
        <w:jc w:val="both"/>
        <w:rPr>
          <w:b/>
        </w:rPr>
      </w:pPr>
      <w:r>
        <w:rPr>
          <w:b/>
        </w:rPr>
        <w:t>3. A műszaki megoldás megfelelőségével összefüggő, megrendelt vizsgálatok díja: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7278"/>
        <w:gridCol w:w="1666"/>
      </w:tblGrid>
      <w:tr w:rsidR="00467C61" w:rsidTr="0034555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 xml:space="preserve"> 3.1.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Egy lakás, illetve rendeltetési egység esetében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rPr>
                <w:b/>
              </w:rPr>
              <w:t>4517,-</w:t>
            </w:r>
            <w:r>
              <w:t xml:space="preserve">     Ft</w:t>
            </w:r>
          </w:p>
        </w:tc>
      </w:tr>
      <w:tr w:rsidR="00467C61" w:rsidTr="0034555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 xml:space="preserve"> 3.2.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Kettő - hat lakás, illetve rendeltetési egység esetében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rPr>
                <w:b/>
              </w:rPr>
              <w:t>4517,-</w:t>
            </w:r>
            <w:r>
              <w:t xml:space="preserve">     Ft</w:t>
            </w:r>
          </w:p>
        </w:tc>
      </w:tr>
      <w:tr w:rsidR="00467C61" w:rsidTr="0034555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 xml:space="preserve"> 3.3.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Hatnál több lakás, illetve rendeltetési egység esetében épületenként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rPr>
                <w:b/>
              </w:rPr>
              <w:t>4517,-</w:t>
            </w:r>
            <w:r>
              <w:t xml:space="preserve">     Ft</w:t>
            </w:r>
          </w:p>
        </w:tc>
      </w:tr>
      <w:tr w:rsidR="00467C61" w:rsidTr="0034555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 xml:space="preserve"> 3.4.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Épület központi kéménnyel 60-140 </w:t>
            </w:r>
            <w:proofErr w:type="spellStart"/>
            <w:r>
              <w:t>Kw</w:t>
            </w:r>
            <w:proofErr w:type="spellEnd"/>
            <w: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rPr>
                <w:b/>
              </w:rPr>
              <w:t>4517,-</w:t>
            </w:r>
            <w:r>
              <w:t xml:space="preserve">     Ft</w:t>
            </w:r>
          </w:p>
        </w:tc>
      </w:tr>
      <w:tr w:rsidR="00467C61" w:rsidTr="0034555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 xml:space="preserve"> 3.5.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Ipari és kommunális létesítmények esetében 140 kW felett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snapToGrid w:val="0"/>
              <w:jc w:val="center"/>
            </w:pPr>
            <w:r>
              <w:rPr>
                <w:b/>
              </w:rPr>
              <w:t>5019,-</w:t>
            </w:r>
            <w:r>
              <w:t xml:space="preserve">     Ft</w:t>
            </w:r>
          </w:p>
        </w:tc>
      </w:tr>
      <w:tr w:rsidR="00467C61" w:rsidTr="0034555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 xml:space="preserve"> 3.6.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</w:pPr>
            <w:r>
              <w:t xml:space="preserve"> Helyszíni szaktanácsadás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snapToGrid w:val="0"/>
              <w:jc w:val="center"/>
            </w:pPr>
            <w:r>
              <w:rPr>
                <w:b/>
              </w:rPr>
              <w:t>4755,-</w:t>
            </w:r>
            <w:r>
              <w:t xml:space="preserve">    Ft</w:t>
            </w:r>
          </w:p>
        </w:tc>
      </w:tr>
      <w:tr w:rsidR="00467C61" w:rsidTr="0034555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jc w:val="center"/>
            </w:pPr>
            <w:r>
              <w:t xml:space="preserve"> 3.7.</w:t>
            </w:r>
          </w:p>
        </w:tc>
        <w:tc>
          <w:tcPr>
            <w:tcW w:w="8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61" w:rsidRDefault="00467C61" w:rsidP="00345550">
            <w:pPr>
              <w:autoSpaceDE w:val="0"/>
              <w:snapToGrid w:val="0"/>
              <w:ind w:left="56" w:right="56"/>
              <w:rPr>
                <w:b/>
              </w:rPr>
            </w:pPr>
            <w:r>
              <w:t xml:space="preserve"> A 3.6. pont alatti tevékenységet további, a 2.5. pont szerinti kiszállási díj </w:t>
            </w:r>
            <w:proofErr w:type="gramStart"/>
            <w:r>
              <w:t xml:space="preserve">terheli                              </w:t>
            </w:r>
            <w:r>
              <w:rPr>
                <w:b/>
              </w:rPr>
              <w:t>0</w:t>
            </w:r>
            <w:proofErr w:type="gramEnd"/>
          </w:p>
        </w:tc>
      </w:tr>
    </w:tbl>
    <w:p w:rsidR="00467C61" w:rsidRDefault="00467C61" w:rsidP="00467C61">
      <w:pPr>
        <w:autoSpaceDE w:val="0"/>
      </w:pPr>
    </w:p>
    <w:p w:rsidR="00467C61" w:rsidRDefault="00467C61" w:rsidP="00467C61">
      <w:pPr>
        <w:autoSpaceDE w:val="0"/>
        <w:rPr>
          <w:b/>
        </w:rPr>
      </w:pPr>
      <w:r>
        <w:rPr>
          <w:b/>
        </w:rPr>
        <w:t xml:space="preserve">A díjak az </w:t>
      </w:r>
      <w:proofErr w:type="spellStart"/>
      <w:r>
        <w:rPr>
          <w:b/>
        </w:rPr>
        <w:t>ÁFÁ-t</w:t>
      </w:r>
      <w:proofErr w:type="spellEnd"/>
      <w:r>
        <w:rPr>
          <w:b/>
        </w:rPr>
        <w:t xml:space="preserve"> tartalmazzák, alkalmankénti fizetendő díjak,</w:t>
      </w:r>
    </w:p>
    <w:p w:rsidR="00467C61" w:rsidRDefault="00467C61" w:rsidP="00467C61">
      <w:pPr>
        <w:autoSpaceDE w:val="0"/>
        <w:rPr>
          <w:b/>
        </w:rPr>
      </w:pPr>
    </w:p>
    <w:p w:rsidR="00467C61" w:rsidRDefault="00467C61" w:rsidP="00467C61">
      <w:pPr>
        <w:autoSpaceDE w:val="0"/>
        <w:rPr>
          <w:b/>
        </w:rPr>
      </w:pPr>
      <w:r>
        <w:rPr>
          <w:b/>
        </w:rPr>
        <w:lastRenderedPageBreak/>
        <w:t>Égéstermék elvezetők jelölése a 347/2012. (XII. 11. ) Korm. rendelet szerint:</w:t>
      </w:r>
    </w:p>
    <w:p w:rsidR="00467C61" w:rsidRDefault="00467C61" w:rsidP="00467C61">
      <w:pPr>
        <w:autoSpaceDE w:val="0"/>
        <w:rPr>
          <w:b/>
        </w:rPr>
      </w:pPr>
    </w:p>
    <w:p w:rsidR="00467C61" w:rsidRDefault="00467C61" w:rsidP="00467C61">
      <w:pPr>
        <w:autoSpaceDE w:val="0"/>
        <w:ind w:left="360"/>
        <w:rPr>
          <w:b/>
        </w:rPr>
      </w:pPr>
      <w:r>
        <w:rPr>
          <w:b/>
        </w:rPr>
        <w:t>I. oszlop: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II. oszlop:</w:t>
      </w:r>
      <w:r>
        <w:rPr>
          <w:b/>
        </w:rPr>
        <w:tab/>
      </w:r>
      <w:r>
        <w:rPr>
          <w:b/>
        </w:rPr>
        <w:tab/>
        <w:t>III. oszlop</w:t>
      </w:r>
      <w:r>
        <w:t>:</w:t>
      </w:r>
      <w:r>
        <w:tab/>
      </w:r>
      <w:r>
        <w:tab/>
      </w:r>
      <w:r>
        <w:rPr>
          <w:b/>
        </w:rPr>
        <w:t>IV. oszlop:</w:t>
      </w:r>
    </w:p>
    <w:p w:rsidR="00467C61" w:rsidRDefault="00467C61" w:rsidP="00467C61">
      <w:pPr>
        <w:autoSpaceDE w:val="0"/>
        <w:ind w:left="360" w:firstLine="348"/>
      </w:pPr>
      <w:r>
        <w:rPr>
          <w:b/>
        </w:rPr>
        <w:t xml:space="preserve">E: </w:t>
      </w:r>
      <w:r>
        <w:t>egyedi</w:t>
      </w:r>
      <w:r>
        <w:rPr>
          <w:b/>
        </w:rPr>
        <w:tab/>
      </w:r>
      <w:r>
        <w:rPr>
          <w:b/>
        </w:rPr>
        <w:tab/>
        <w:t xml:space="preserve">N: </w:t>
      </w:r>
      <w:r>
        <w:t>nyitott égésterű</w:t>
      </w:r>
      <w:r>
        <w:tab/>
      </w:r>
      <w:r>
        <w:rPr>
          <w:b/>
        </w:rPr>
        <w:t xml:space="preserve">H: </w:t>
      </w:r>
      <w:r>
        <w:t xml:space="preserve">huzat </w:t>
      </w:r>
      <w:proofErr w:type="gramStart"/>
      <w:r>
        <w:t xml:space="preserve">elvű   </w:t>
      </w:r>
      <w:r>
        <w:tab/>
      </w:r>
      <w:r>
        <w:tab/>
      </w:r>
      <w:r>
        <w:rPr>
          <w:b/>
        </w:rPr>
        <w:t>S</w:t>
      </w:r>
      <w:proofErr w:type="gramEnd"/>
      <w:r>
        <w:t>: szilárd tüzelésű</w:t>
      </w:r>
    </w:p>
    <w:p w:rsidR="00467C61" w:rsidRDefault="00467C61" w:rsidP="00467C61">
      <w:pPr>
        <w:autoSpaceDE w:val="0"/>
      </w:pPr>
      <w:r>
        <w:rPr>
          <w:b/>
        </w:rPr>
        <w:tab/>
        <w:t xml:space="preserve">G: </w:t>
      </w:r>
      <w:r>
        <w:t>gyűjtő</w:t>
      </w:r>
      <w:r>
        <w:rPr>
          <w:b/>
        </w:rPr>
        <w:tab/>
      </w:r>
      <w:r>
        <w:rPr>
          <w:b/>
        </w:rPr>
        <w:tab/>
        <w:t xml:space="preserve">Z: </w:t>
      </w:r>
      <w:r>
        <w:t>zárt égésterű</w:t>
      </w:r>
      <w:r>
        <w:tab/>
      </w:r>
      <w:r>
        <w:tab/>
      </w:r>
      <w:r>
        <w:rPr>
          <w:b/>
        </w:rPr>
        <w:t>T:</w:t>
      </w:r>
      <w:r>
        <w:t xml:space="preserve"> túlnyomásos</w:t>
      </w:r>
      <w:r>
        <w:tab/>
      </w:r>
      <w:r>
        <w:tab/>
        <w:t>G: gáztüzelésű</w:t>
      </w:r>
    </w:p>
    <w:p w:rsidR="00467C61" w:rsidRDefault="00467C61" w:rsidP="00467C61">
      <w:pPr>
        <w:autoSpaceDE w:val="0"/>
      </w:pPr>
      <w:r>
        <w:rPr>
          <w:b/>
        </w:rPr>
        <w:tab/>
        <w:t xml:space="preserve">K: </w:t>
      </w:r>
      <w:r>
        <w:t>üzemi, központi</w:t>
      </w:r>
    </w:p>
    <w:p w:rsidR="00467C61" w:rsidRDefault="00467C61" w:rsidP="00467C61">
      <w:pPr>
        <w:autoSpaceDE w:val="0"/>
      </w:pPr>
      <w:r>
        <w:rPr>
          <w:b/>
        </w:rPr>
        <w:tab/>
        <w:t xml:space="preserve">N: </w:t>
      </w:r>
      <w:r>
        <w:t>nagyközponti</w:t>
      </w:r>
    </w:p>
    <w:p w:rsidR="00467C61" w:rsidRDefault="00467C61" w:rsidP="00467C61">
      <w:pPr>
        <w:autoSpaceDE w:val="0"/>
        <w:rPr>
          <w:b/>
        </w:rPr>
      </w:pPr>
    </w:p>
    <w:p w:rsidR="00467C61" w:rsidRDefault="00467C61" w:rsidP="00467C61">
      <w:pPr>
        <w:autoSpaceDE w:val="0"/>
        <w:rPr>
          <w:b/>
        </w:rPr>
      </w:pPr>
    </w:p>
    <w:p w:rsidR="00467C61" w:rsidRDefault="00467C61" w:rsidP="00467C61">
      <w:pPr>
        <w:autoSpaceDE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2015. 01. 01-tól előírt új közszolgáltatási tevékenységek díjai</w:t>
      </w:r>
    </w:p>
    <w:p w:rsidR="00467C61" w:rsidRDefault="00467C61" w:rsidP="00467C61">
      <w:pPr>
        <w:autoSpaceDE w:val="0"/>
        <w:spacing w:line="360" w:lineRule="auto"/>
        <w:jc w:val="center"/>
        <w:rPr>
          <w:b/>
        </w:rPr>
      </w:pPr>
    </w:p>
    <w:p w:rsidR="00467C61" w:rsidRDefault="00467C61" w:rsidP="00467C61">
      <w:pPr>
        <w:autoSpaceDE w:val="0"/>
        <w:spacing w:line="360" w:lineRule="auto"/>
        <w:jc w:val="center"/>
        <w:rPr>
          <w:b/>
        </w:rPr>
      </w:pPr>
      <w:r>
        <w:rPr>
          <w:b/>
        </w:rPr>
        <w:t>A 347/2012. (XII. 11. ) Korm. rendelet szerint</w:t>
      </w:r>
    </w:p>
    <w:p w:rsidR="00467C61" w:rsidRDefault="00467C61" w:rsidP="00467C61">
      <w:pPr>
        <w:autoSpaceDE w:val="0"/>
        <w:spacing w:line="360" w:lineRule="auto"/>
        <w:jc w:val="center"/>
        <w:rPr>
          <w:b/>
        </w:rPr>
      </w:pPr>
    </w:p>
    <w:p w:rsidR="00467C61" w:rsidRDefault="00467C61" w:rsidP="00467C61">
      <w:pPr>
        <w:autoSpaceDE w:val="0"/>
        <w:spacing w:line="360" w:lineRule="auto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1. A tüzelőberendezés biztonságos működéséhez szükséges </w:t>
      </w:r>
      <w:r>
        <w:rPr>
          <w:rFonts w:eastAsia="Arial Unicode MS"/>
          <w:b/>
          <w:bCs/>
          <w:sz w:val="28"/>
          <w:szCs w:val="28"/>
        </w:rPr>
        <w:t>levegő utánpótlásának</w:t>
      </w:r>
      <w:r>
        <w:rPr>
          <w:rFonts w:eastAsia="Arial Unicode MS"/>
          <w:bCs/>
        </w:rPr>
        <w:t xml:space="preserve"> ellenőrzése.</w:t>
      </w:r>
    </w:p>
    <w:p w:rsidR="00467C61" w:rsidRDefault="00467C61" w:rsidP="00467C61">
      <w:pPr>
        <w:autoSpaceDE w:val="0"/>
        <w:spacing w:line="360" w:lineRule="auto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ab/>
        <w:t>Díj</w:t>
      </w:r>
      <w:r>
        <w:rPr>
          <w:rFonts w:eastAsia="Arial Unicode MS"/>
          <w:bCs/>
        </w:rPr>
        <w:tab/>
        <w:t>= 0,1 munkaráfordítás/db/alkalom × 1340,</w:t>
      </w:r>
      <w:proofErr w:type="spellStart"/>
      <w:r>
        <w:rPr>
          <w:rFonts w:eastAsia="Arial Unicode MS"/>
          <w:bCs/>
        </w:rPr>
        <w:t>-Ft</w:t>
      </w:r>
      <w:proofErr w:type="spellEnd"/>
      <w:r>
        <w:rPr>
          <w:rFonts w:eastAsia="Arial Unicode MS"/>
          <w:bCs/>
        </w:rPr>
        <w:t>/munkaráfordítás = 134,- Ft/db/alkalom nettó.</w:t>
      </w:r>
    </w:p>
    <w:p w:rsidR="00467C61" w:rsidRDefault="00467C61" w:rsidP="00467C61">
      <w:pPr>
        <w:autoSpaceDE w:val="0"/>
        <w:spacing w:line="360" w:lineRule="auto"/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ab/>
        <w:t xml:space="preserve">Munkavégzés díja bruttó: </w:t>
      </w:r>
      <w:r>
        <w:rPr>
          <w:rFonts w:eastAsia="Arial Unicode MS"/>
          <w:b/>
          <w:bCs/>
        </w:rPr>
        <w:t>170,</w:t>
      </w:r>
      <w:proofErr w:type="spellStart"/>
      <w:r>
        <w:rPr>
          <w:rFonts w:eastAsia="Arial Unicode MS"/>
          <w:b/>
          <w:bCs/>
        </w:rPr>
        <w:t>-ft</w:t>
      </w:r>
      <w:proofErr w:type="spellEnd"/>
    </w:p>
    <w:p w:rsidR="00467C61" w:rsidRDefault="00467C61" w:rsidP="00467C61">
      <w:pPr>
        <w:autoSpaceDE w:val="0"/>
        <w:spacing w:line="360" w:lineRule="auto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2. A szilárd tüzelésű égéstermék elvezetők kötelező gyakoriságának csökkenése miatti Felülvizsgálati </w:t>
      </w:r>
      <w:proofErr w:type="spellStart"/>
      <w:r>
        <w:rPr>
          <w:rFonts w:eastAsia="Arial Unicode MS"/>
          <w:b/>
          <w:bCs/>
        </w:rPr>
        <w:t>egységráfordítási</w:t>
      </w:r>
      <w:proofErr w:type="spellEnd"/>
      <w:r>
        <w:rPr>
          <w:rFonts w:eastAsia="Arial Unicode MS"/>
          <w:b/>
          <w:bCs/>
        </w:rPr>
        <w:t xml:space="preserve"> szorzó </w:t>
      </w:r>
      <w:r>
        <w:rPr>
          <w:rFonts w:eastAsia="Arial Unicode MS"/>
          <w:bCs/>
        </w:rPr>
        <w:t>növekedése.</w:t>
      </w:r>
    </w:p>
    <w:p w:rsidR="00467C61" w:rsidRDefault="00467C61" w:rsidP="00467C61">
      <w:pPr>
        <w:autoSpaceDE w:val="0"/>
        <w:spacing w:line="360" w:lineRule="auto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ab/>
        <w:t>Díj</w:t>
      </w:r>
      <w:r>
        <w:rPr>
          <w:rFonts w:eastAsia="Arial Unicode MS"/>
          <w:bCs/>
        </w:rPr>
        <w:tab/>
        <w:t>= 0,1 munkaráfordítás/db/alkalom × 1340,</w:t>
      </w:r>
      <w:proofErr w:type="spellStart"/>
      <w:r>
        <w:rPr>
          <w:rFonts w:eastAsia="Arial Unicode MS"/>
          <w:bCs/>
        </w:rPr>
        <w:t>-Ft</w:t>
      </w:r>
      <w:proofErr w:type="spellEnd"/>
      <w:r>
        <w:rPr>
          <w:rFonts w:eastAsia="Arial Unicode MS"/>
          <w:bCs/>
        </w:rPr>
        <w:t>/munkaráfordítás = 134,- Ft/db/alkalom nettó.</w:t>
      </w:r>
    </w:p>
    <w:p w:rsidR="00467C61" w:rsidRDefault="00467C61" w:rsidP="00467C61">
      <w:pPr>
        <w:autoSpaceDE w:val="0"/>
        <w:spacing w:line="360" w:lineRule="auto"/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ab/>
        <w:t xml:space="preserve">Munkavégzés díja bruttó: </w:t>
      </w:r>
      <w:r>
        <w:rPr>
          <w:rFonts w:eastAsia="Arial Unicode MS"/>
          <w:b/>
          <w:bCs/>
        </w:rPr>
        <w:t>170,</w:t>
      </w:r>
      <w:proofErr w:type="spellStart"/>
      <w:r>
        <w:rPr>
          <w:rFonts w:eastAsia="Arial Unicode MS"/>
          <w:b/>
          <w:bCs/>
        </w:rPr>
        <w:t>-ft</w:t>
      </w:r>
      <w:proofErr w:type="spellEnd"/>
    </w:p>
    <w:p w:rsidR="00467C61" w:rsidRDefault="00467C61" w:rsidP="00467C61">
      <w:pPr>
        <w:autoSpaceDE w:val="0"/>
        <w:spacing w:line="360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3. Az égéstermék paramétereinek </w:t>
      </w:r>
      <w:r>
        <w:rPr>
          <w:rFonts w:eastAsia="Arial Unicode MS"/>
          <w:b/>
          <w:sz w:val="28"/>
          <w:szCs w:val="28"/>
        </w:rPr>
        <w:t>(CO) ellenőrzését</w:t>
      </w:r>
      <w:r>
        <w:rPr>
          <w:rFonts w:eastAsia="Arial Unicode MS"/>
        </w:rPr>
        <w:t xml:space="preserve"> (csak gáztüzelő berendezéseknél 11 KW felett).</w:t>
      </w:r>
    </w:p>
    <w:p w:rsidR="00467C61" w:rsidRDefault="00467C61" w:rsidP="00467C61">
      <w:pPr>
        <w:autoSpaceDE w:val="0"/>
        <w:spacing w:line="360" w:lineRule="auto"/>
        <w:jc w:val="both"/>
        <w:rPr>
          <w:rFonts w:eastAsia="Arial Unicode MS"/>
        </w:rPr>
      </w:pPr>
      <w:r>
        <w:rPr>
          <w:rFonts w:eastAsia="Arial Unicode MS"/>
        </w:rPr>
        <w:tab/>
        <w:t>Díj</w:t>
      </w:r>
      <w:r>
        <w:rPr>
          <w:rFonts w:eastAsia="Arial Unicode MS"/>
        </w:rPr>
        <w:tab/>
        <w:t>= 0,3/4 munkaráfordítás/paraméter/alkalom × 1340,</w:t>
      </w:r>
      <w:proofErr w:type="spellStart"/>
      <w:r>
        <w:rPr>
          <w:rFonts w:eastAsia="Arial Unicode MS"/>
        </w:rPr>
        <w:t>-Ft</w:t>
      </w:r>
      <w:proofErr w:type="spellEnd"/>
      <w:r>
        <w:rPr>
          <w:rFonts w:eastAsia="Arial Unicode MS"/>
        </w:rPr>
        <w:t>/munkaráfordítás =</w:t>
      </w:r>
    </w:p>
    <w:p w:rsidR="00467C61" w:rsidRDefault="00467C61" w:rsidP="00467C61">
      <w:pPr>
        <w:autoSpaceDE w:val="0"/>
        <w:spacing w:line="360" w:lineRule="auto"/>
        <w:ind w:left="454" w:firstLine="454"/>
        <w:jc w:val="both"/>
        <w:rPr>
          <w:rFonts w:eastAsia="Arial Unicode MS"/>
        </w:rPr>
      </w:pPr>
      <w:r>
        <w:rPr>
          <w:rFonts w:eastAsia="Arial Unicode MS"/>
        </w:rPr>
        <w:t>= 101,- Ft/paraméter/alkalom (négyévente kell elvégezni).</w:t>
      </w:r>
    </w:p>
    <w:p w:rsidR="00467C61" w:rsidRDefault="00467C61" w:rsidP="00467C61">
      <w:pPr>
        <w:autoSpaceDE w:val="0"/>
        <w:spacing w:line="360" w:lineRule="auto"/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Munkavégzés díja bruttó: </w:t>
      </w:r>
      <w:r>
        <w:rPr>
          <w:rFonts w:eastAsia="Arial Unicode MS"/>
          <w:b/>
          <w:bCs/>
        </w:rPr>
        <w:t>128,</w:t>
      </w:r>
      <w:proofErr w:type="spellStart"/>
      <w:r>
        <w:rPr>
          <w:rFonts w:eastAsia="Arial Unicode MS"/>
          <w:b/>
          <w:bCs/>
        </w:rPr>
        <w:t>-ft</w:t>
      </w:r>
      <w:proofErr w:type="spellEnd"/>
    </w:p>
    <w:p w:rsidR="00467C61" w:rsidRDefault="00467C61" w:rsidP="00467C61">
      <w:pPr>
        <w:autoSpaceDE w:val="0"/>
        <w:spacing w:line="360" w:lineRule="auto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4. Az </w:t>
      </w:r>
      <w:r>
        <w:rPr>
          <w:rFonts w:eastAsia="Arial Unicode MS"/>
          <w:b/>
          <w:bCs/>
          <w:sz w:val="28"/>
          <w:szCs w:val="28"/>
        </w:rPr>
        <w:t>összekötő elemek</w:t>
      </w:r>
      <w:r>
        <w:rPr>
          <w:rFonts w:eastAsia="Arial Unicode MS"/>
          <w:bCs/>
        </w:rPr>
        <w:t xml:space="preserve"> ellenőrzése és szükség szerinti tisztítása.</w:t>
      </w:r>
    </w:p>
    <w:p w:rsidR="00467C61" w:rsidRDefault="00467C61" w:rsidP="00467C61">
      <w:pPr>
        <w:autoSpaceDE w:val="0"/>
        <w:spacing w:line="360" w:lineRule="auto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ab/>
        <w:t>A leggyakoribb esetekben:</w:t>
      </w:r>
    </w:p>
    <w:p w:rsidR="00467C61" w:rsidRDefault="00467C61" w:rsidP="00467C61">
      <w:pPr>
        <w:autoSpaceDE w:val="0"/>
        <w:spacing w:line="360" w:lineRule="auto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ab/>
        <w:t xml:space="preserve">ENHS jelű égéstermék-elvezető esetén </w:t>
      </w:r>
    </w:p>
    <w:p w:rsidR="00467C61" w:rsidRDefault="00467C61" w:rsidP="00467C61">
      <w:pPr>
        <w:autoSpaceDE w:val="0"/>
        <w:spacing w:line="360" w:lineRule="auto"/>
        <w:ind w:firstLine="454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Díj= 0,17 munkaráfordítás/bekötés/alkalom × 1340,-</w:t>
      </w:r>
      <w:r>
        <w:rPr>
          <w:rFonts w:eastAsia="Arial Unicode MS"/>
          <w:bCs/>
        </w:rPr>
        <w:tab/>
        <w:t>Ft/munkaráfordítás =</w:t>
      </w:r>
    </w:p>
    <w:p w:rsidR="00467C61" w:rsidRDefault="00467C61" w:rsidP="00467C61">
      <w:pPr>
        <w:autoSpaceDE w:val="0"/>
        <w:spacing w:line="360" w:lineRule="auto"/>
        <w:ind w:left="454" w:firstLine="454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= 228,</w:t>
      </w:r>
      <w:proofErr w:type="spellStart"/>
      <w:r>
        <w:rPr>
          <w:rFonts w:eastAsia="Arial Unicode MS"/>
          <w:bCs/>
        </w:rPr>
        <w:t>-Ft</w:t>
      </w:r>
      <w:proofErr w:type="spellEnd"/>
      <w:r>
        <w:rPr>
          <w:rFonts w:eastAsia="Arial Unicode MS"/>
          <w:bCs/>
        </w:rPr>
        <w:t>/bekötés/alkalom.</w:t>
      </w:r>
    </w:p>
    <w:p w:rsidR="00467C61" w:rsidRDefault="00467C61" w:rsidP="00467C61">
      <w:pPr>
        <w:autoSpaceDE w:val="0"/>
        <w:spacing w:line="360" w:lineRule="auto"/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Munkavégzés díja bruttó: </w:t>
      </w:r>
      <w:r>
        <w:rPr>
          <w:rFonts w:eastAsia="Arial Unicode MS"/>
          <w:b/>
          <w:bCs/>
        </w:rPr>
        <w:t>290,</w:t>
      </w:r>
      <w:proofErr w:type="spellStart"/>
      <w:r>
        <w:rPr>
          <w:rFonts w:eastAsia="Arial Unicode MS"/>
          <w:b/>
          <w:bCs/>
        </w:rPr>
        <w:t>-ft</w:t>
      </w:r>
      <w:proofErr w:type="spellEnd"/>
    </w:p>
    <w:p w:rsidR="00467C61" w:rsidRDefault="00467C61" w:rsidP="00467C61">
      <w:pPr>
        <w:autoSpaceDE w:val="0"/>
        <w:spacing w:line="360" w:lineRule="auto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ab/>
        <w:t xml:space="preserve">ENHG jelű égéstermék-elvezető esetén </w:t>
      </w:r>
    </w:p>
    <w:p w:rsidR="00467C61" w:rsidRDefault="00467C61" w:rsidP="00467C61">
      <w:pPr>
        <w:autoSpaceDE w:val="0"/>
        <w:spacing w:line="360" w:lineRule="auto"/>
        <w:ind w:firstLine="454"/>
        <w:jc w:val="both"/>
        <w:rPr>
          <w:rFonts w:eastAsia="Arial Unicode MS"/>
          <w:bCs/>
        </w:rPr>
      </w:pPr>
      <w:r>
        <w:rPr>
          <w:rFonts w:eastAsia="Arial Unicode MS"/>
          <w:bCs/>
        </w:rPr>
        <w:lastRenderedPageBreak/>
        <w:t>Díj= 0,14 munkaráfordítás/bekötés/alkalom × 1340,-</w:t>
      </w:r>
      <w:r>
        <w:rPr>
          <w:rFonts w:eastAsia="Arial Unicode MS"/>
          <w:bCs/>
        </w:rPr>
        <w:tab/>
        <w:t>Ft/munkaráfordítás =</w:t>
      </w:r>
    </w:p>
    <w:p w:rsidR="00467C61" w:rsidRDefault="00467C61" w:rsidP="00467C61">
      <w:pPr>
        <w:autoSpaceDE w:val="0"/>
        <w:spacing w:line="360" w:lineRule="auto"/>
        <w:ind w:left="454" w:firstLine="454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= 188,</w:t>
      </w:r>
      <w:proofErr w:type="spellStart"/>
      <w:r>
        <w:rPr>
          <w:rFonts w:eastAsia="Arial Unicode MS"/>
          <w:bCs/>
        </w:rPr>
        <w:t>-Ft</w:t>
      </w:r>
      <w:proofErr w:type="spellEnd"/>
      <w:r>
        <w:rPr>
          <w:rFonts w:eastAsia="Arial Unicode MS"/>
          <w:bCs/>
        </w:rPr>
        <w:t>/bekötés/alkalom.</w:t>
      </w:r>
    </w:p>
    <w:p w:rsidR="00467C61" w:rsidRDefault="00467C61" w:rsidP="00467C61">
      <w:pPr>
        <w:autoSpaceDE w:val="0"/>
        <w:spacing w:line="360" w:lineRule="auto"/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Munkavégzés díja bruttó: </w:t>
      </w:r>
      <w:r>
        <w:rPr>
          <w:rFonts w:eastAsia="Arial Unicode MS"/>
          <w:b/>
          <w:bCs/>
        </w:rPr>
        <w:t>239,</w:t>
      </w:r>
      <w:proofErr w:type="spellStart"/>
      <w:r>
        <w:rPr>
          <w:rFonts w:eastAsia="Arial Unicode MS"/>
          <w:b/>
          <w:bCs/>
        </w:rPr>
        <w:t>-ft</w:t>
      </w:r>
      <w:proofErr w:type="spellEnd"/>
    </w:p>
    <w:p w:rsidR="00467C61" w:rsidRDefault="00467C61" w:rsidP="00467C61">
      <w:pPr>
        <w:autoSpaceDE w:val="0"/>
        <w:spacing w:line="360" w:lineRule="auto"/>
        <w:jc w:val="both"/>
        <w:rPr>
          <w:rFonts w:eastAsia="Arial Unicode MS" w:cs="Arial"/>
          <w:bCs/>
        </w:rPr>
      </w:pPr>
      <w:r>
        <w:rPr>
          <w:rFonts w:eastAsia="Arial Unicode MS" w:cs="Arial"/>
          <w:bCs/>
        </w:rPr>
        <w:t xml:space="preserve">5. A </w:t>
      </w:r>
      <w:r>
        <w:rPr>
          <w:rFonts w:eastAsia="Arial Unicode MS" w:cs="Arial"/>
          <w:b/>
          <w:bCs/>
          <w:sz w:val="28"/>
          <w:szCs w:val="28"/>
        </w:rPr>
        <w:t>műszaki-biztonsági felülvizsgálat</w:t>
      </w:r>
      <w:r>
        <w:rPr>
          <w:rFonts w:eastAsia="Arial Unicode MS" w:cs="Arial"/>
          <w:bCs/>
        </w:rPr>
        <w:t xml:space="preserve"> meglétének ellenőrzését (</w:t>
      </w:r>
      <w:r>
        <w:rPr>
          <w:rFonts w:eastAsia="Arial Unicode MS" w:cs="Arial"/>
          <w:b/>
          <w:bCs/>
        </w:rPr>
        <w:t>gáztüzelő berendezéseknél</w:t>
      </w:r>
      <w:r>
        <w:rPr>
          <w:rFonts w:eastAsia="Arial Unicode MS" w:cs="Arial"/>
          <w:bCs/>
        </w:rPr>
        <w:t>).</w:t>
      </w:r>
    </w:p>
    <w:p w:rsidR="00467C61" w:rsidRDefault="00467C61" w:rsidP="00467C61">
      <w:pPr>
        <w:autoSpaceDE w:val="0"/>
        <w:spacing w:line="360" w:lineRule="auto"/>
        <w:ind w:firstLine="454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Díj= 0,05 munkaráfordítás/bekötés/alkalom × 1340,-</w:t>
      </w:r>
      <w:r>
        <w:rPr>
          <w:rFonts w:eastAsia="Arial Unicode MS"/>
          <w:bCs/>
        </w:rPr>
        <w:tab/>
        <w:t>Ft/munkaráfordítás =</w:t>
      </w:r>
    </w:p>
    <w:p w:rsidR="00467C61" w:rsidRDefault="00467C61" w:rsidP="00467C61">
      <w:pPr>
        <w:autoSpaceDE w:val="0"/>
        <w:spacing w:line="360" w:lineRule="auto"/>
        <w:ind w:left="454" w:firstLine="454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= 67,</w:t>
      </w:r>
      <w:proofErr w:type="spellStart"/>
      <w:r>
        <w:rPr>
          <w:rFonts w:eastAsia="Arial Unicode MS"/>
          <w:bCs/>
        </w:rPr>
        <w:t>-Ft</w:t>
      </w:r>
      <w:proofErr w:type="spellEnd"/>
      <w:r>
        <w:rPr>
          <w:rFonts w:eastAsia="Arial Unicode MS"/>
          <w:bCs/>
        </w:rPr>
        <w:t>/bekötés/alkalom.</w:t>
      </w:r>
    </w:p>
    <w:p w:rsidR="00467C61" w:rsidRDefault="00467C61" w:rsidP="00467C61">
      <w:pPr>
        <w:autoSpaceDE w:val="0"/>
        <w:spacing w:line="360" w:lineRule="auto"/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Munkavégzés díja bruttó: </w:t>
      </w:r>
      <w:r>
        <w:rPr>
          <w:rFonts w:eastAsia="Arial Unicode MS"/>
          <w:b/>
          <w:bCs/>
        </w:rPr>
        <w:t>85,</w:t>
      </w:r>
      <w:proofErr w:type="spellStart"/>
      <w:r>
        <w:rPr>
          <w:rFonts w:eastAsia="Arial Unicode MS"/>
          <w:b/>
          <w:bCs/>
        </w:rPr>
        <w:t>-ft</w:t>
      </w:r>
      <w:proofErr w:type="spellEnd"/>
    </w:p>
    <w:p w:rsidR="00467C61" w:rsidRDefault="00467C61" w:rsidP="00467C61">
      <w:pPr>
        <w:autoSpaceDE w:val="0"/>
        <w:rPr>
          <w:b/>
        </w:rPr>
      </w:pPr>
    </w:p>
    <w:p w:rsidR="00467C61" w:rsidRDefault="00467C61" w:rsidP="00467C61">
      <w:pPr>
        <w:autoSpaceDE w:val="0"/>
        <w:rPr>
          <w:b/>
        </w:rPr>
      </w:pPr>
    </w:p>
    <w:p w:rsidR="00467C61" w:rsidRDefault="00467C61" w:rsidP="00467C61">
      <w:pPr>
        <w:rPr>
          <w:i/>
        </w:rPr>
      </w:pPr>
    </w:p>
    <w:p w:rsidR="00467C61" w:rsidRDefault="00467C61" w:rsidP="00467C61">
      <w:pPr>
        <w:rPr>
          <w:i/>
        </w:rPr>
      </w:pPr>
    </w:p>
    <w:p w:rsidR="00467C61" w:rsidRDefault="00467C61" w:rsidP="00467C61">
      <w:pPr>
        <w:rPr>
          <w:i/>
        </w:rPr>
      </w:pPr>
    </w:p>
    <w:p w:rsidR="00467C61" w:rsidRDefault="00467C61" w:rsidP="00467C61">
      <w:pPr>
        <w:rPr>
          <w:i/>
        </w:rPr>
      </w:pPr>
    </w:p>
    <w:p w:rsidR="00467C61" w:rsidRDefault="00467C61" w:rsidP="00467C61">
      <w:pPr>
        <w:rPr>
          <w:i/>
        </w:rPr>
      </w:pPr>
    </w:p>
    <w:p w:rsidR="00467C61" w:rsidRDefault="00467C61" w:rsidP="00467C61">
      <w:pPr>
        <w:rPr>
          <w:i/>
        </w:rPr>
      </w:pPr>
    </w:p>
    <w:p w:rsidR="00467C61" w:rsidRDefault="00467C61" w:rsidP="00467C61">
      <w:pPr>
        <w:rPr>
          <w:i/>
        </w:rPr>
      </w:pPr>
    </w:p>
    <w:p w:rsidR="00467C61" w:rsidRDefault="00467C61" w:rsidP="00467C61">
      <w:pPr>
        <w:rPr>
          <w:i/>
        </w:rPr>
      </w:pPr>
    </w:p>
    <w:p w:rsidR="00467C61" w:rsidRDefault="00467C61" w:rsidP="00467C61">
      <w:pPr>
        <w:rPr>
          <w:i/>
        </w:rPr>
      </w:pPr>
    </w:p>
    <w:p w:rsidR="00467C61" w:rsidRDefault="00467C61" w:rsidP="00467C61">
      <w:pPr>
        <w:rPr>
          <w:i/>
        </w:rPr>
      </w:pPr>
    </w:p>
    <w:p w:rsidR="00467C61" w:rsidRDefault="00467C61" w:rsidP="00467C61">
      <w:pPr>
        <w:rPr>
          <w:i/>
        </w:rPr>
      </w:pPr>
    </w:p>
    <w:p w:rsidR="00467C61" w:rsidRDefault="00467C61" w:rsidP="00467C61">
      <w:pPr>
        <w:rPr>
          <w:i/>
        </w:rPr>
      </w:pPr>
    </w:p>
    <w:p w:rsidR="00467C61" w:rsidRDefault="00467C61" w:rsidP="00467C61">
      <w:pPr>
        <w:rPr>
          <w:i/>
        </w:rPr>
      </w:pPr>
    </w:p>
    <w:p w:rsidR="00467C61" w:rsidRDefault="00467C61" w:rsidP="00467C61">
      <w:pPr>
        <w:rPr>
          <w:i/>
        </w:rPr>
      </w:pPr>
    </w:p>
    <w:p w:rsidR="00467C61" w:rsidRDefault="00467C61" w:rsidP="00467C61">
      <w:pPr>
        <w:rPr>
          <w:i/>
        </w:rPr>
      </w:pPr>
    </w:p>
    <w:p w:rsidR="00467C61" w:rsidRDefault="00467C61" w:rsidP="00467C61">
      <w:pPr>
        <w:rPr>
          <w:i/>
        </w:rPr>
      </w:pPr>
    </w:p>
    <w:p w:rsidR="00467C61" w:rsidRDefault="00467C61" w:rsidP="00467C61">
      <w:pPr>
        <w:rPr>
          <w:i/>
        </w:rPr>
      </w:pPr>
    </w:p>
    <w:p w:rsidR="00467C61" w:rsidRDefault="00467C61" w:rsidP="00467C61">
      <w:pPr>
        <w:rPr>
          <w:i/>
        </w:rPr>
      </w:pPr>
    </w:p>
    <w:p w:rsidR="00467C61" w:rsidRDefault="00467C61" w:rsidP="00467C61">
      <w:pPr>
        <w:rPr>
          <w:i/>
        </w:rPr>
      </w:pPr>
    </w:p>
    <w:p w:rsidR="00467C61" w:rsidRDefault="00467C61" w:rsidP="00467C61">
      <w:pPr>
        <w:rPr>
          <w:i/>
        </w:rPr>
      </w:pPr>
    </w:p>
    <w:p w:rsidR="00467C61" w:rsidRDefault="00467C61" w:rsidP="00467C61">
      <w:pPr>
        <w:jc w:val="both"/>
      </w:pPr>
    </w:p>
    <w:p w:rsidR="00467C61" w:rsidRDefault="00467C61" w:rsidP="00467C61">
      <w:pPr>
        <w:jc w:val="both"/>
      </w:pPr>
    </w:p>
    <w:p w:rsidR="00467C61" w:rsidRDefault="00467C61" w:rsidP="00467C61">
      <w:pPr>
        <w:jc w:val="both"/>
      </w:pPr>
    </w:p>
    <w:p w:rsidR="00467C61" w:rsidRDefault="00467C61" w:rsidP="00467C61">
      <w:pPr>
        <w:jc w:val="both"/>
      </w:pPr>
    </w:p>
    <w:p w:rsidR="00467C61" w:rsidRDefault="00467C61" w:rsidP="00467C61"/>
    <w:p w:rsidR="0039449B" w:rsidRDefault="0039449B"/>
    <w:sectPr w:rsidR="0039449B" w:rsidSect="0039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7C61"/>
    <w:rsid w:val="0039449B"/>
    <w:rsid w:val="003D7711"/>
    <w:rsid w:val="0041078F"/>
    <w:rsid w:val="00467C61"/>
    <w:rsid w:val="004B6BD0"/>
    <w:rsid w:val="004F3E82"/>
    <w:rsid w:val="00521995"/>
    <w:rsid w:val="00B7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7C61"/>
    <w:rPr>
      <w:rFonts w:ascii="Garamond" w:eastAsia="Times New Roman" w:hAnsi="Garamond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1078F"/>
    <w:pPr>
      <w:keepNext/>
      <w:numPr>
        <w:numId w:val="4"/>
      </w:numPr>
      <w:suppressAutoHyphens/>
      <w:outlineLvl w:val="0"/>
    </w:pPr>
    <w:rPr>
      <w:rFonts w:ascii="Times New Roman" w:hAnsi="Times New Roman"/>
      <w:b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467C61"/>
    <w:pPr>
      <w:keepNext/>
      <w:spacing w:line="360" w:lineRule="auto"/>
      <w:jc w:val="center"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qFormat/>
    <w:rsid w:val="0041078F"/>
    <w:pPr>
      <w:keepNext/>
      <w:numPr>
        <w:ilvl w:val="2"/>
        <w:numId w:val="4"/>
      </w:numPr>
      <w:suppressAutoHyphens/>
      <w:jc w:val="center"/>
      <w:outlineLvl w:val="2"/>
    </w:pPr>
    <w:rPr>
      <w:rFonts w:ascii="Times New Roman" w:hAnsi="Times New Roman"/>
      <w:b/>
      <w:sz w:val="32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41078F"/>
    <w:pPr>
      <w:keepNext/>
      <w:numPr>
        <w:ilvl w:val="3"/>
        <w:numId w:val="4"/>
      </w:numPr>
      <w:suppressAutoHyphens/>
      <w:jc w:val="center"/>
      <w:outlineLvl w:val="3"/>
    </w:pPr>
    <w:rPr>
      <w:rFonts w:ascii="Times New Roman" w:hAnsi="Times New Roman"/>
      <w:b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41078F"/>
    <w:pPr>
      <w:keepNext/>
      <w:numPr>
        <w:ilvl w:val="4"/>
        <w:numId w:val="4"/>
      </w:numPr>
      <w:suppressAutoHyphens/>
      <w:outlineLvl w:val="4"/>
    </w:pPr>
    <w:rPr>
      <w:rFonts w:ascii="Times New Roman" w:hAnsi="Times New Roman"/>
      <w:b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1078F"/>
    <w:rPr>
      <w:rFonts w:cstheme="minorBidi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41078F"/>
    <w:rPr>
      <w:rFonts w:cstheme="minorBidi"/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41078F"/>
    <w:rPr>
      <w:rFonts w:cstheme="minorBidi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41078F"/>
    <w:rPr>
      <w:rFonts w:eastAsiaTheme="minorHAnsi" w:cstheme="minorBidi"/>
      <w:b/>
      <w:sz w:val="24"/>
      <w:lang w:eastAsia="ar-SA"/>
    </w:rPr>
  </w:style>
  <w:style w:type="paragraph" w:styleId="Cm">
    <w:name w:val="Title"/>
    <w:basedOn w:val="Norml"/>
    <w:next w:val="Norml"/>
    <w:link w:val="CmChar"/>
    <w:qFormat/>
    <w:rsid w:val="0041078F"/>
    <w:pPr>
      <w:suppressAutoHyphens/>
      <w:jc w:val="center"/>
    </w:pPr>
    <w:rPr>
      <w:rFonts w:ascii="Times New Roman" w:hAnsi="Times New Roman"/>
      <w:b/>
      <w:spacing w:val="20"/>
      <w:sz w:val="32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41078F"/>
    <w:rPr>
      <w:rFonts w:eastAsiaTheme="minorHAnsi" w:cstheme="minorBidi"/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4107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lcmChar">
    <w:name w:val="Alcím Char"/>
    <w:basedOn w:val="Bekezdsalapbettpusa"/>
    <w:link w:val="Alcm"/>
    <w:rsid w:val="004107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incstrkz">
    <w:name w:val="No Spacing"/>
    <w:uiPriority w:val="1"/>
    <w:qFormat/>
    <w:rsid w:val="0041078F"/>
  </w:style>
  <w:style w:type="paragraph" w:styleId="Listaszerbekezds">
    <w:name w:val="List Paragraph"/>
    <w:basedOn w:val="Norml"/>
    <w:uiPriority w:val="34"/>
    <w:qFormat/>
    <w:rsid w:val="0041078F"/>
    <w:pPr>
      <w:ind w:left="720"/>
      <w:contextualSpacing/>
    </w:pPr>
    <w:rPr>
      <w:rFonts w:ascii="Times New Roman" w:hAnsi="Times New Roman"/>
    </w:rPr>
  </w:style>
  <w:style w:type="character" w:customStyle="1" w:styleId="Cmsor2Char">
    <w:name w:val="Címsor 2 Char"/>
    <w:basedOn w:val="Bekezdsalapbettpusa"/>
    <w:link w:val="Cmsor2"/>
    <w:rsid w:val="00467C61"/>
    <w:rPr>
      <w:rFonts w:ascii="Garamond" w:eastAsia="Times New Roman" w:hAnsi="Garamond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2014-12-19T09:56:00Z</dcterms:created>
  <dcterms:modified xsi:type="dcterms:W3CDTF">2014-12-19T09:57:00Z</dcterms:modified>
</cp:coreProperties>
</file>