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30DC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>8/2015. (III.30.) önkormányzati rendelete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 xml:space="preserve">a </w:t>
      </w:r>
      <w:r w:rsidRPr="003430DC">
        <w:rPr>
          <w:rFonts w:ascii="Arial" w:hAnsi="Arial" w:cs="Arial"/>
          <w:b/>
          <w:bCs/>
          <w:sz w:val="24"/>
          <w:szCs w:val="24"/>
        </w:rPr>
        <w:t>közterületek elnevezéséről valamint azok jelöléséről szóló 68/2004. (XII.01.)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>önkormányzati rendelet, valamint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 xml:space="preserve">Budaörs Város Önkormányzatának Szervezeti és Működési Szabályzatáról szóló 36/2010. (XI.12.) önkormányzati rendelet 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 xml:space="preserve"> módosításáról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Budaörs Város Önkormányzat Képviselő-testülete Magyarország Alaptörvénye 32. cikk (2) bekezdésében meghatározott eredeti jogalkotói hatáskörében, Magyarország Alaptörvénye 32. cikk (1) bekezdés a) pontjában meghatározott feladatkörében eljárva a következőket rendeli el.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 xml:space="preserve"> §</w:t>
      </w:r>
    </w:p>
    <w:p w:rsidR="003430DC" w:rsidRPr="003430DC" w:rsidRDefault="003430DC" w:rsidP="003430DC">
      <w:pPr>
        <w:jc w:val="both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(1) A közterületek elnevezéséről valamint azok jelöléséről szóló 68/2004. (XII.01.) önkormányzati rendelet (Továbbiakban: R.) 2. § (1) bekezdése helyébe az alábbi rendelkezés lép: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tabs>
          <w:tab w:val="left" w:pos="851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lastRenderedPageBreak/>
        <w:t xml:space="preserve">„(1) </w:t>
      </w:r>
      <w:r w:rsidRPr="003430DC">
        <w:rPr>
          <w:rFonts w:ascii="Arial" w:hAnsi="Arial" w:cs="Arial"/>
          <w:sz w:val="24"/>
          <w:szCs w:val="24"/>
        </w:rPr>
        <w:tab/>
        <w:t>Budaörs Város területén minden közterületet közterületként való lejegyzését követő 90 napon belül el kell nevezni.”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(2) A R. 2. § az alábbi új (6) bekezdéssel egészül ki: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ind w:left="283" w:firstLine="1"/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 xml:space="preserve">„(6) </w:t>
      </w:r>
      <w:r w:rsidRPr="003430DC">
        <w:rPr>
          <w:rFonts w:ascii="Arial" w:hAnsi="Arial" w:cs="Arial"/>
          <w:bCs/>
          <w:sz w:val="24"/>
          <w:szCs w:val="24"/>
        </w:rPr>
        <w:t>Közterület jellegeként kizárólag a központi címregiszterről és címkezelésről szóló 345/2014. (XII.23.) Kormányrendelet (továbbiakban: Kormányrendelet) 1. mellékletében felsoroltakat lehet megjelölni.</w:t>
      </w:r>
      <w:r w:rsidRPr="003430DC">
        <w:rPr>
          <w:rFonts w:ascii="Arial" w:hAnsi="Arial" w:cs="Arial"/>
          <w:sz w:val="24"/>
          <w:szCs w:val="24"/>
        </w:rPr>
        <w:t xml:space="preserve">” </w:t>
      </w:r>
    </w:p>
    <w:p w:rsidR="003430DC" w:rsidRPr="003430DC" w:rsidRDefault="003430DC" w:rsidP="003430DC">
      <w:pPr>
        <w:pStyle w:val="Default"/>
        <w:jc w:val="center"/>
        <w:rPr>
          <w:bCs/>
          <w:color w:val="auto"/>
        </w:rPr>
      </w:pPr>
    </w:p>
    <w:p w:rsidR="003430DC" w:rsidRPr="003430DC" w:rsidRDefault="003430DC" w:rsidP="003430DC">
      <w:pPr>
        <w:pStyle w:val="Default"/>
        <w:ind w:left="360"/>
        <w:jc w:val="center"/>
        <w:rPr>
          <w:b/>
          <w:bCs/>
          <w:color w:val="auto"/>
        </w:rPr>
      </w:pPr>
      <w:r w:rsidRPr="003430DC">
        <w:rPr>
          <w:b/>
          <w:bCs/>
          <w:color w:val="auto"/>
        </w:rPr>
        <w:t>2. §</w:t>
      </w:r>
    </w:p>
    <w:p w:rsidR="003430DC" w:rsidRPr="003430DC" w:rsidRDefault="003430DC" w:rsidP="003430DC">
      <w:pPr>
        <w:pStyle w:val="Default"/>
        <w:jc w:val="center"/>
        <w:rPr>
          <w:b/>
          <w:bCs/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3"/>
        </w:numPr>
        <w:ind w:left="0" w:firstLine="0"/>
        <w:rPr>
          <w:color w:val="auto"/>
        </w:rPr>
      </w:pPr>
      <w:r w:rsidRPr="003430DC">
        <w:rPr>
          <w:color w:val="auto"/>
        </w:rPr>
        <w:t xml:space="preserve"> A R. 11. § (1) bekezdése helyébe az alábbi rendelkezés lép:</w:t>
      </w:r>
    </w:p>
    <w:p w:rsidR="003430DC" w:rsidRPr="003430DC" w:rsidRDefault="003430DC" w:rsidP="003430DC">
      <w:pPr>
        <w:pStyle w:val="Default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3430DC">
        <w:rPr>
          <w:color w:val="auto"/>
        </w:rPr>
        <w:t>„ Az elnevezett közterületeken a Kormányrendelet 2.§ (1) bekezdése által meghatározott ingatlanokat címmel kell ellátni. ”</w:t>
      </w:r>
    </w:p>
    <w:p w:rsidR="003430DC" w:rsidRPr="003430DC" w:rsidRDefault="003430DC" w:rsidP="003430DC">
      <w:pPr>
        <w:pStyle w:val="Default"/>
        <w:rPr>
          <w:b/>
          <w:color w:val="auto"/>
        </w:rPr>
      </w:pPr>
    </w:p>
    <w:p w:rsidR="003430DC" w:rsidRPr="003430DC" w:rsidRDefault="003430DC" w:rsidP="003430DC">
      <w:pPr>
        <w:pStyle w:val="Default"/>
        <w:jc w:val="both"/>
        <w:rPr>
          <w:color w:val="auto"/>
          <w:highlight w:val="yellow"/>
        </w:rPr>
      </w:pPr>
      <w:r w:rsidRPr="003430DC">
        <w:rPr>
          <w:color w:val="auto"/>
        </w:rPr>
        <w:t>(2) A R. 11. § (2)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284"/>
        <w:jc w:val="both"/>
        <w:rPr>
          <w:color w:val="auto"/>
        </w:rPr>
      </w:pPr>
      <w:r w:rsidRPr="003430DC">
        <w:rPr>
          <w:color w:val="auto"/>
        </w:rPr>
        <w:t>„(2) Az ingatlanok címe nem lehet a Kormányrendelet 1.§ 3. pontjában meghatározott, valamennyi címadatra kiterjedően azonos.”</w:t>
      </w:r>
    </w:p>
    <w:p w:rsidR="003430DC" w:rsidRPr="003430DC" w:rsidRDefault="003430DC" w:rsidP="003430DC">
      <w:pPr>
        <w:pStyle w:val="Default"/>
        <w:rPr>
          <w:b/>
          <w:color w:val="auto"/>
        </w:rPr>
      </w:pPr>
    </w:p>
    <w:p w:rsidR="003430DC" w:rsidRPr="003430DC" w:rsidRDefault="003430DC" w:rsidP="003430DC">
      <w:pPr>
        <w:pStyle w:val="Default"/>
        <w:jc w:val="center"/>
        <w:rPr>
          <w:b/>
          <w:color w:val="auto"/>
        </w:rPr>
      </w:pPr>
      <w:r w:rsidRPr="003430DC">
        <w:rPr>
          <w:b/>
          <w:color w:val="auto"/>
        </w:rPr>
        <w:t xml:space="preserve">3. § </w:t>
      </w:r>
    </w:p>
    <w:p w:rsidR="003430DC" w:rsidRPr="003430DC" w:rsidRDefault="003430DC" w:rsidP="003430DC">
      <w:pPr>
        <w:pStyle w:val="Default"/>
        <w:jc w:val="center"/>
        <w:rPr>
          <w:b/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5"/>
        </w:numPr>
        <w:ind w:left="-142" w:hanging="11"/>
        <w:jc w:val="both"/>
        <w:rPr>
          <w:color w:val="auto"/>
        </w:rPr>
      </w:pPr>
      <w:r w:rsidRPr="003430DC">
        <w:rPr>
          <w:color w:val="auto"/>
        </w:rPr>
        <w:t xml:space="preserve"> A R. 12. § (1)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„A főútvonalak és a vele párhuzamos utcák ingatlanainak számozása Budaörs városközponttól (Templom tér) kifelé sugarasan növekszik. A számozás 1-gyel kezdődik és a számok kihagyás nélkül emelkednek a közterülethez csatlakozó utolsó ingatlanig, akkor is, ha több település közigazgatási területét érinti.”</w:t>
      </w:r>
    </w:p>
    <w:p w:rsidR="003430DC" w:rsidRPr="003430DC" w:rsidRDefault="003430DC" w:rsidP="003430DC">
      <w:pPr>
        <w:pStyle w:val="Default"/>
        <w:ind w:left="-142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5"/>
        </w:numPr>
        <w:ind w:left="-142" w:hanging="11"/>
        <w:jc w:val="both"/>
        <w:rPr>
          <w:color w:val="auto"/>
        </w:rPr>
      </w:pPr>
      <w:r w:rsidRPr="003430DC">
        <w:rPr>
          <w:color w:val="auto"/>
        </w:rPr>
        <w:t xml:space="preserve"> A R. 12.§ (4) bekezdése helyébe az alábbi rendelkezés lép: 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284"/>
        <w:jc w:val="both"/>
        <w:rPr>
          <w:color w:val="auto"/>
        </w:rPr>
      </w:pPr>
      <w:r w:rsidRPr="003430DC">
        <w:rPr>
          <w:color w:val="auto"/>
        </w:rPr>
        <w:t>„</w:t>
      </w:r>
      <w:r w:rsidRPr="003430DC">
        <w:t>Azoknál az utcáknál ahol csak az egyik oldalon lehetséges a címképzés és a másik oldalon kizárt a Kormányrendelet 2.§ (1) bekezdése szerinti ingatlan létesítése (egyoldalas utcák), az ingatlanok házszámozása folyamatosan emelkedik.</w:t>
      </w:r>
      <w:r w:rsidRPr="003430DC">
        <w:rPr>
          <w:color w:val="auto"/>
        </w:rPr>
        <w:t>”</w:t>
      </w:r>
    </w:p>
    <w:p w:rsidR="003430DC" w:rsidRPr="003430DC" w:rsidRDefault="003430DC" w:rsidP="003430DC">
      <w:pPr>
        <w:pStyle w:val="Default"/>
        <w:ind w:left="-142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5"/>
        </w:numPr>
        <w:ind w:left="-142" w:hanging="11"/>
        <w:jc w:val="both"/>
        <w:rPr>
          <w:color w:val="auto"/>
        </w:rPr>
      </w:pPr>
      <w:r w:rsidRPr="003430DC">
        <w:rPr>
          <w:color w:val="auto"/>
        </w:rPr>
        <w:t xml:space="preserve"> A R. 12.§ (5)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284"/>
        <w:jc w:val="both"/>
        <w:rPr>
          <w:color w:val="auto"/>
        </w:rPr>
      </w:pPr>
      <w:r w:rsidRPr="003430DC">
        <w:rPr>
          <w:color w:val="auto"/>
        </w:rPr>
        <w:t>„Terek ingatlanainak számozása folyamatosan emelkedő számsorrendben, az óramutató járásával megegyező irányba történik. A számsor a település középpontja felől becsatlakozó utca jobb oldalán kezdődik és a bal oldalán ér véget.”</w:t>
      </w:r>
    </w:p>
    <w:p w:rsidR="003430DC" w:rsidRPr="003430DC" w:rsidRDefault="003430DC" w:rsidP="003430DC">
      <w:pPr>
        <w:pStyle w:val="Default"/>
        <w:ind w:left="426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5"/>
        </w:numPr>
        <w:ind w:left="-142" w:hanging="11"/>
        <w:jc w:val="both"/>
        <w:rPr>
          <w:color w:val="auto"/>
        </w:rPr>
      </w:pPr>
      <w:r w:rsidRPr="003430DC">
        <w:rPr>
          <w:color w:val="auto"/>
        </w:rPr>
        <w:t xml:space="preserve"> A R. 12.§ (6)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jc w:val="both"/>
        <w:rPr>
          <w:color w:val="auto"/>
        </w:rPr>
      </w:pPr>
      <w:r w:rsidRPr="003430DC">
        <w:rPr>
          <w:color w:val="auto"/>
        </w:rPr>
        <w:t xml:space="preserve">„(6) </w:t>
      </w:r>
      <w:r w:rsidRPr="003430DC">
        <w:rPr>
          <w:color w:val="auto"/>
        </w:rPr>
        <w:tab/>
        <w:t>Több közterülettel érintkező ingatlan esetében a házszámot azon nevezett közterületre vonatkoztatva kell megállapítani, amelyre az ingatlan gyalogos közlekedésre alkalmas bejárata található, a többi közterületre vonatkozóan csak fenn kell tartani a számozást.”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5"/>
        </w:numPr>
        <w:ind w:left="-142" w:hanging="11"/>
        <w:jc w:val="both"/>
        <w:rPr>
          <w:color w:val="auto"/>
        </w:rPr>
      </w:pPr>
      <w:r w:rsidRPr="003430DC">
        <w:rPr>
          <w:color w:val="auto"/>
        </w:rPr>
        <w:t xml:space="preserve"> A R. 12. §-a az alábbi, új (8) bekezdéssel egészül ki: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284"/>
        <w:jc w:val="both"/>
        <w:rPr>
          <w:color w:val="auto"/>
        </w:rPr>
      </w:pPr>
      <w:r w:rsidRPr="003430DC">
        <w:rPr>
          <w:color w:val="auto"/>
        </w:rPr>
        <w:t>„(8) Zsákutcák esetén a házszámozást az úthálózati csatlakozásnál kell kezdeni és az egyoldalas utca számozására vonatkozó szabályokat kell alkalmazni.</w:t>
      </w:r>
    </w:p>
    <w:p w:rsidR="003430DC" w:rsidRPr="003430DC" w:rsidRDefault="003430DC" w:rsidP="003430DC">
      <w:pPr>
        <w:pStyle w:val="Default"/>
        <w:ind w:left="284"/>
        <w:jc w:val="both"/>
        <w:rPr>
          <w:color w:val="auto"/>
        </w:rPr>
      </w:pPr>
      <w:r w:rsidRPr="003430DC">
        <w:rPr>
          <w:bCs/>
        </w:rPr>
        <w:t xml:space="preserve">E rendelet alkalmazásában zsákutcán </w:t>
      </w:r>
      <w:r w:rsidRPr="003430DC">
        <w:t>olyan önálló közterületi névvel rendelkező, egy vagy több közterületi ingatlanból álló egységet kell érteni, amelyre csak egyetlen irányból lehet járművel be-és kihajtani.</w:t>
      </w:r>
      <w:r w:rsidRPr="003430DC">
        <w:rPr>
          <w:color w:val="auto"/>
        </w:rPr>
        <w:t>”</w:t>
      </w:r>
    </w:p>
    <w:p w:rsidR="003430DC" w:rsidRPr="003430DC" w:rsidRDefault="003430DC" w:rsidP="003430DC">
      <w:pPr>
        <w:pStyle w:val="Default"/>
        <w:ind w:left="426"/>
        <w:jc w:val="center"/>
        <w:rPr>
          <w:b/>
          <w:color w:val="auto"/>
        </w:rPr>
      </w:pPr>
    </w:p>
    <w:p w:rsidR="003430DC" w:rsidRPr="003430DC" w:rsidRDefault="003430DC" w:rsidP="003430DC">
      <w:pPr>
        <w:pStyle w:val="Default"/>
        <w:ind w:left="426"/>
        <w:jc w:val="center"/>
        <w:rPr>
          <w:b/>
          <w:color w:val="auto"/>
        </w:rPr>
      </w:pPr>
      <w:r w:rsidRPr="003430DC">
        <w:rPr>
          <w:b/>
          <w:color w:val="auto"/>
        </w:rPr>
        <w:t>4. §</w:t>
      </w:r>
    </w:p>
    <w:p w:rsidR="003430DC" w:rsidRPr="003430DC" w:rsidRDefault="003430DC" w:rsidP="003430DC">
      <w:pPr>
        <w:pStyle w:val="Default"/>
        <w:ind w:left="426"/>
        <w:jc w:val="center"/>
        <w:rPr>
          <w:b/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4"/>
        </w:numPr>
        <w:ind w:left="0" w:hanging="11"/>
        <w:jc w:val="both"/>
        <w:rPr>
          <w:color w:val="auto"/>
        </w:rPr>
      </w:pPr>
      <w:r w:rsidRPr="003430DC">
        <w:rPr>
          <w:color w:val="auto"/>
        </w:rPr>
        <w:t xml:space="preserve">  A R. 12/A. § (1)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426"/>
        <w:jc w:val="both"/>
        <w:rPr>
          <w:color w:val="auto"/>
        </w:rPr>
      </w:pPr>
      <w:r w:rsidRPr="003430DC">
        <w:rPr>
          <w:color w:val="auto"/>
        </w:rPr>
        <w:lastRenderedPageBreak/>
        <w:t>„(1) Az egyes ingatlanok – a (2)-(3) bekezdésekben foglalt kivételekkel – egy, az arab számmal kifejezett házszámot kapnak.”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4"/>
        </w:numPr>
        <w:ind w:left="0" w:hanging="11"/>
        <w:jc w:val="both"/>
        <w:rPr>
          <w:color w:val="auto"/>
        </w:rPr>
      </w:pPr>
      <w:r w:rsidRPr="003430DC">
        <w:rPr>
          <w:color w:val="auto"/>
        </w:rPr>
        <w:t xml:space="preserve">  A R. 12/A. § (2) bekezdése helyébe az alábbi rendelkezés lép: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426"/>
        <w:jc w:val="both"/>
        <w:rPr>
          <w:color w:val="auto"/>
        </w:rPr>
      </w:pPr>
      <w:r w:rsidRPr="003430DC">
        <w:rPr>
          <w:color w:val="auto"/>
        </w:rPr>
        <w:t>„(2) Az épített környezet alakításáról és védelméről szóló 1997. évi LXXVIII. törvény 2.§ 24. pontja szerinti, címképzés után felosztott ingatlan eredeti címe megszűnik, az újonnan kialakított telkek számának megfelelően, a számsor növekedésének irányába a megosztott ingatlan eredeti házszáma kiegészül egy vagy több, nem ékezetes, egyjegyű nagybetűvel A-tól Z-ig, közvetlenül a házszám mögé írva.”</w:t>
      </w:r>
    </w:p>
    <w:p w:rsidR="003430DC" w:rsidRPr="003430DC" w:rsidRDefault="003430DC" w:rsidP="003430DC">
      <w:pPr>
        <w:pStyle w:val="Default"/>
        <w:jc w:val="both"/>
        <w:rPr>
          <w:color w:val="auto"/>
        </w:rPr>
      </w:pPr>
    </w:p>
    <w:p w:rsidR="003430DC" w:rsidRPr="003430DC" w:rsidRDefault="003430DC" w:rsidP="003430DC">
      <w:pPr>
        <w:pStyle w:val="Default"/>
        <w:ind w:left="2"/>
        <w:jc w:val="center"/>
        <w:rPr>
          <w:b/>
          <w:color w:val="auto"/>
        </w:rPr>
      </w:pPr>
      <w:r w:rsidRPr="003430DC">
        <w:rPr>
          <w:b/>
          <w:color w:val="auto"/>
        </w:rPr>
        <w:t>5. §</w:t>
      </w:r>
    </w:p>
    <w:p w:rsidR="003430DC" w:rsidRPr="003430DC" w:rsidRDefault="003430DC" w:rsidP="003430DC">
      <w:pPr>
        <w:pStyle w:val="Default"/>
        <w:rPr>
          <w:b/>
          <w:color w:val="auto"/>
        </w:rPr>
      </w:pPr>
    </w:p>
    <w:p w:rsidR="003430DC" w:rsidRPr="003430DC" w:rsidRDefault="003430DC" w:rsidP="003430DC">
      <w:pPr>
        <w:pStyle w:val="Default"/>
        <w:rPr>
          <w:color w:val="auto"/>
        </w:rPr>
      </w:pPr>
      <w:r w:rsidRPr="003430DC">
        <w:rPr>
          <w:color w:val="auto"/>
        </w:rPr>
        <w:t>A R. 12/B. § (2) bekezdése helyébe az alábbi rendelkezés lép: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ind w:left="426"/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„(2) A házszám megváltoztatása során a legkisebb érdeksérelemmel járó módon kell eljárni.”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>6. §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pStyle w:val="Default"/>
        <w:jc w:val="both"/>
        <w:rPr>
          <w:bCs/>
          <w:color w:val="auto"/>
        </w:rPr>
      </w:pPr>
      <w:r w:rsidRPr="003430DC">
        <w:rPr>
          <w:bCs/>
          <w:color w:val="auto"/>
        </w:rPr>
        <w:t>Hatályát veszti a R.</w:t>
      </w:r>
    </w:p>
    <w:p w:rsidR="003430DC" w:rsidRPr="003430DC" w:rsidRDefault="003430DC" w:rsidP="003430DC">
      <w:pPr>
        <w:pStyle w:val="Default"/>
        <w:jc w:val="both"/>
        <w:rPr>
          <w:bCs/>
          <w:color w:val="auto"/>
        </w:rPr>
      </w:pPr>
    </w:p>
    <w:p w:rsidR="003430DC" w:rsidRPr="003430DC" w:rsidRDefault="003430DC" w:rsidP="003430DC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430DC">
        <w:rPr>
          <w:bCs/>
          <w:color w:val="auto"/>
        </w:rPr>
        <w:t xml:space="preserve"> </w:t>
      </w:r>
      <w:r w:rsidRPr="003430DC">
        <w:rPr>
          <w:color w:val="auto"/>
        </w:rPr>
        <w:t>3. § (1) bekezdése,</w:t>
      </w:r>
    </w:p>
    <w:p w:rsidR="003430DC" w:rsidRPr="003430DC" w:rsidRDefault="003430DC" w:rsidP="003430DC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430DC">
        <w:rPr>
          <w:color w:val="auto"/>
        </w:rPr>
        <w:t xml:space="preserve"> 4. § (1) bekezdése,</w:t>
      </w:r>
    </w:p>
    <w:p w:rsidR="003430DC" w:rsidRPr="003430DC" w:rsidRDefault="003430DC" w:rsidP="003430DC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430DC">
        <w:rPr>
          <w:color w:val="auto"/>
        </w:rPr>
        <w:t xml:space="preserve"> 12/A. § (4) bekezdése, valamint a</w:t>
      </w:r>
    </w:p>
    <w:p w:rsidR="003430DC" w:rsidRPr="003430DC" w:rsidRDefault="003430DC" w:rsidP="003430DC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430DC">
        <w:rPr>
          <w:color w:val="auto"/>
        </w:rPr>
        <w:t xml:space="preserve"> 12/C. §-a</w:t>
      </w:r>
      <w:r w:rsidRPr="003430DC">
        <w:rPr>
          <w:color w:val="auto"/>
        </w:rPr>
        <w:tab/>
        <w:t>.</w:t>
      </w: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>7. §</w:t>
      </w: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pStyle w:val="Default"/>
        <w:jc w:val="both"/>
        <w:rPr>
          <w:bCs/>
          <w:color w:val="auto"/>
        </w:rPr>
      </w:pPr>
      <w:r w:rsidRPr="003430DC">
        <w:rPr>
          <w:bCs/>
          <w:color w:val="auto"/>
        </w:rPr>
        <w:t>Hatályát veszti Budaörs Város Önkormányzatának Szervezeti és Működési Szabályzatáról szóló 36/2010. (XI.12.) önkormányzati rendelet 1. melléklete 1. pontjának 1.23. alpontja.</w:t>
      </w: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jc w:val="center"/>
        <w:rPr>
          <w:rFonts w:ascii="Arial" w:hAnsi="Arial" w:cs="Arial"/>
          <w:b/>
          <w:sz w:val="24"/>
          <w:szCs w:val="24"/>
        </w:rPr>
      </w:pPr>
      <w:r w:rsidRPr="003430DC">
        <w:rPr>
          <w:rFonts w:ascii="Arial" w:hAnsi="Arial" w:cs="Arial"/>
          <w:b/>
          <w:sz w:val="24"/>
          <w:szCs w:val="24"/>
        </w:rPr>
        <w:t>8. §</w:t>
      </w: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  <w:r w:rsidRPr="003430DC">
        <w:rPr>
          <w:rFonts w:ascii="Arial" w:hAnsi="Arial" w:cs="Arial"/>
          <w:bCs/>
          <w:sz w:val="24"/>
          <w:szCs w:val="24"/>
        </w:rPr>
        <w:t>E rendelet 2015. április 01. napon lép hatályba.</w:t>
      </w: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  <w:r w:rsidRPr="003430DC">
        <w:rPr>
          <w:rFonts w:ascii="Arial" w:hAnsi="Arial" w:cs="Arial"/>
          <w:bCs/>
          <w:sz w:val="24"/>
          <w:szCs w:val="24"/>
        </w:rPr>
        <w:t xml:space="preserve">Budaörs, 2015. március 25. </w:t>
      </w:r>
    </w:p>
    <w:p w:rsid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</w:p>
    <w:p w:rsid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</w:t>
      </w:r>
      <w:r w:rsidRPr="003430DC">
        <w:rPr>
          <w:rFonts w:ascii="Arial" w:hAnsi="Arial" w:cs="Arial"/>
          <w:b/>
          <w:bCs/>
          <w:sz w:val="24"/>
          <w:szCs w:val="24"/>
        </w:rPr>
        <w:t>Wittinghoff Tamás</w:t>
      </w:r>
      <w:r w:rsidRPr="003430DC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430DC">
        <w:rPr>
          <w:rFonts w:ascii="Arial" w:hAnsi="Arial" w:cs="Arial"/>
          <w:b/>
          <w:bCs/>
          <w:sz w:val="24"/>
          <w:szCs w:val="24"/>
        </w:rPr>
        <w:t xml:space="preserve">dr. </w:t>
      </w:r>
      <w:r>
        <w:rPr>
          <w:rFonts w:ascii="Arial" w:hAnsi="Arial" w:cs="Arial"/>
          <w:b/>
          <w:bCs/>
          <w:sz w:val="24"/>
          <w:szCs w:val="24"/>
        </w:rPr>
        <w:t>Bocsi István</w:t>
      </w:r>
    </w:p>
    <w:p w:rsidR="003430DC" w:rsidRPr="003430DC" w:rsidRDefault="003430DC" w:rsidP="003430DC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3430DC">
        <w:rPr>
          <w:rFonts w:ascii="Arial" w:hAnsi="Arial" w:cs="Arial"/>
          <w:b/>
          <w:bCs/>
          <w:sz w:val="24"/>
          <w:szCs w:val="24"/>
        </w:rPr>
        <w:t>polgármester</w:t>
      </w:r>
      <w:r w:rsidRPr="003430DC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430DC">
        <w:rPr>
          <w:rFonts w:ascii="Arial" w:hAnsi="Arial" w:cs="Arial"/>
          <w:b/>
          <w:bCs/>
          <w:sz w:val="24"/>
          <w:szCs w:val="24"/>
        </w:rPr>
        <w:t xml:space="preserve"> jegyző</w:t>
      </w:r>
    </w:p>
    <w:p w:rsidR="00A05E3F" w:rsidRDefault="00A05E3F" w:rsidP="003430DC">
      <w:pPr>
        <w:rPr>
          <w:rFonts w:ascii="Arial" w:hAnsi="Arial" w:cs="Arial"/>
          <w:sz w:val="24"/>
          <w:szCs w:val="24"/>
        </w:rPr>
      </w:pPr>
    </w:p>
    <w:p w:rsidR="003430DC" w:rsidRDefault="003430DC" w:rsidP="003430DC">
      <w:pPr>
        <w:rPr>
          <w:rFonts w:ascii="Arial" w:hAnsi="Arial" w:cs="Arial"/>
          <w:sz w:val="24"/>
          <w:szCs w:val="24"/>
        </w:rPr>
      </w:pPr>
    </w:p>
    <w:p w:rsidR="003430DC" w:rsidRDefault="003430D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8</w:t>
      </w:r>
      <w:r w:rsidRPr="003430DC">
        <w:rPr>
          <w:rFonts w:ascii="Arial" w:hAnsi="Arial" w:cs="Arial"/>
          <w:sz w:val="24"/>
          <w:szCs w:val="24"/>
        </w:rPr>
        <w:t xml:space="preserve">/2015. (III.30.) önkormányzati rendelet 2015. március 30. napján a </w:t>
      </w:r>
      <w:smartTag w:uri="urn:schemas-microsoft-com:office:smarttags" w:element="PersonName">
        <w:r w:rsidRPr="003430DC">
          <w:rPr>
            <w:rFonts w:ascii="Arial" w:hAnsi="Arial" w:cs="Arial"/>
            <w:sz w:val="24"/>
            <w:szCs w:val="24"/>
          </w:rPr>
          <w:t>Polgármester</w:t>
        </w:r>
      </w:smartTag>
      <w:r w:rsidRPr="003430DC">
        <w:rPr>
          <w:rFonts w:ascii="Arial" w:hAnsi="Arial" w:cs="Arial"/>
          <w:sz w:val="24"/>
          <w:szCs w:val="24"/>
        </w:rPr>
        <w:t xml:space="preserve">i Hivatal (Budaörs, Szabadság út 134. sz.) hirdetőtábláján való kifüggesztéssel kihirdetésre került. 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Erdős Károlyné</w:t>
      </w:r>
    </w:p>
    <w:p w:rsidR="003430DC" w:rsidRPr="003430DC" w:rsidRDefault="003430DC" w:rsidP="003430DC">
      <w:pPr>
        <w:jc w:val="both"/>
        <w:rPr>
          <w:rFonts w:ascii="Arial" w:hAnsi="Arial" w:cs="Arial"/>
          <w:sz w:val="24"/>
          <w:szCs w:val="24"/>
        </w:rPr>
      </w:pPr>
      <w:r w:rsidRPr="003430DC">
        <w:rPr>
          <w:rFonts w:ascii="Arial" w:hAnsi="Arial" w:cs="Arial"/>
          <w:sz w:val="24"/>
          <w:szCs w:val="24"/>
        </w:rPr>
        <w:t>irodavezető</w:t>
      </w:r>
    </w:p>
    <w:p w:rsidR="003430DC" w:rsidRPr="003430DC" w:rsidRDefault="003430DC" w:rsidP="003430DC">
      <w:pPr>
        <w:rPr>
          <w:rFonts w:ascii="Arial" w:hAnsi="Arial" w:cs="Arial"/>
        </w:rPr>
      </w:pPr>
    </w:p>
    <w:p w:rsidR="003430DC" w:rsidRPr="003430DC" w:rsidRDefault="003430DC" w:rsidP="003430DC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3430DC" w:rsidRPr="003430DC" w:rsidRDefault="003430DC" w:rsidP="003430DC">
      <w:pPr>
        <w:rPr>
          <w:rFonts w:ascii="Arial" w:hAnsi="Arial" w:cs="Arial"/>
          <w:sz w:val="24"/>
          <w:szCs w:val="24"/>
        </w:rPr>
      </w:pPr>
    </w:p>
    <w:sectPr w:rsidR="003430DC" w:rsidRPr="003430DC" w:rsidSect="003B27E4">
      <w:footerReference w:type="even" r:id="rId7"/>
      <w:footerReference w:type="first" r:id="rId8"/>
      <w:pgSz w:w="12240" w:h="15840" w:code="1"/>
      <w:pgMar w:top="1417" w:right="1417" w:bottom="1417" w:left="1417" w:header="284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0DC" w:rsidRDefault="003430DC" w:rsidP="003430DC">
      <w:r>
        <w:separator/>
      </w:r>
    </w:p>
  </w:endnote>
  <w:endnote w:type="continuationSeparator" w:id="0">
    <w:p w:rsidR="003430DC" w:rsidRDefault="003430DC" w:rsidP="0034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46F" w:rsidRDefault="003430DC" w:rsidP="00BB20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E346F" w:rsidRDefault="00F53DD5" w:rsidP="00BB208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46F" w:rsidRDefault="00F53DD5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0DC" w:rsidRDefault="003430DC" w:rsidP="003430DC">
      <w:r>
        <w:separator/>
      </w:r>
    </w:p>
  </w:footnote>
  <w:footnote w:type="continuationSeparator" w:id="0">
    <w:p w:rsidR="003430DC" w:rsidRDefault="003430DC" w:rsidP="0034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56E0F"/>
    <w:multiLevelType w:val="hybridMultilevel"/>
    <w:tmpl w:val="03261D30"/>
    <w:lvl w:ilvl="0" w:tplc="2F16B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A4984"/>
    <w:multiLevelType w:val="hybridMultilevel"/>
    <w:tmpl w:val="3184092E"/>
    <w:lvl w:ilvl="0" w:tplc="3CC2551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20C"/>
    <w:multiLevelType w:val="hybridMultilevel"/>
    <w:tmpl w:val="F2A443FE"/>
    <w:lvl w:ilvl="0" w:tplc="D4C87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52FFE"/>
    <w:multiLevelType w:val="hybridMultilevel"/>
    <w:tmpl w:val="23200B02"/>
    <w:lvl w:ilvl="0" w:tplc="481A9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14C84"/>
    <w:multiLevelType w:val="hybridMultilevel"/>
    <w:tmpl w:val="E014EC3E"/>
    <w:lvl w:ilvl="0" w:tplc="CDACB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067AD"/>
    <w:multiLevelType w:val="hybridMultilevel"/>
    <w:tmpl w:val="918A01CE"/>
    <w:lvl w:ilvl="0" w:tplc="51A0D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DC"/>
    <w:rsid w:val="003430DC"/>
    <w:rsid w:val="00A05E3F"/>
    <w:rsid w:val="00F5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D2292-B860-4CBD-A808-A2DD2226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30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30D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30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30D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430DC"/>
  </w:style>
  <w:style w:type="paragraph" w:customStyle="1" w:styleId="Default">
    <w:name w:val="Default"/>
    <w:rsid w:val="003430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Tasnádi Ferenc</cp:lastModifiedBy>
  <cp:revision>2</cp:revision>
  <dcterms:created xsi:type="dcterms:W3CDTF">2015-03-27T08:41:00Z</dcterms:created>
  <dcterms:modified xsi:type="dcterms:W3CDTF">2015-03-27T08:41:00Z</dcterms:modified>
</cp:coreProperties>
</file>