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DEEA1" w14:textId="77777777" w:rsidR="00F566D5" w:rsidRPr="00F566D5" w:rsidRDefault="00F566D5" w:rsidP="00F566D5">
      <w:pPr>
        <w:numPr>
          <w:ilvl w:val="0"/>
          <w:numId w:val="1"/>
        </w:numPr>
        <w:spacing w:after="0" w:line="240" w:lineRule="auto"/>
        <w:ind w:left="426"/>
        <w:rPr>
          <w:rFonts w:ascii="Calibri" w:eastAsia="Times New Roman" w:hAnsi="Calibri" w:cs="Calibri"/>
          <w:lang w:eastAsia="hu-HU"/>
        </w:rPr>
      </w:pPr>
      <w:r w:rsidRPr="00F566D5">
        <w:rPr>
          <w:rFonts w:ascii="Calibri" w:eastAsia="Times New Roman" w:hAnsi="Calibri" w:cs="Calibri"/>
          <w:lang w:eastAsia="hu-HU"/>
        </w:rPr>
        <w:t>számú melléklet a 34/2020. (X. 29.) önkormányzati rendelethez</w:t>
      </w:r>
    </w:p>
    <w:p w14:paraId="32888DA0" w14:textId="77777777" w:rsidR="00F566D5" w:rsidRPr="00F566D5" w:rsidRDefault="00F566D5" w:rsidP="00F566D5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14:paraId="3BAE05C6" w14:textId="77777777" w:rsidR="00F566D5" w:rsidRPr="00F566D5" w:rsidRDefault="00F566D5" w:rsidP="00F566D5">
      <w:pPr>
        <w:spacing w:after="0" w:line="240" w:lineRule="auto"/>
        <w:jc w:val="both"/>
        <w:rPr>
          <w:rFonts w:ascii="Calibri" w:eastAsia="Times New Roman" w:hAnsi="Calibri" w:cs="Calibri"/>
          <w:u w:val="single"/>
          <w:lang w:eastAsia="hu-HU"/>
        </w:rPr>
      </w:pPr>
      <w:r w:rsidRPr="00F566D5">
        <w:rPr>
          <w:rFonts w:ascii="Calibri" w:eastAsia="Times New Roman" w:hAnsi="Calibri" w:cs="Calibri"/>
          <w:lang w:eastAsia="hu-HU"/>
        </w:rPr>
        <w:t>„</w:t>
      </w:r>
      <w:r w:rsidRPr="00F566D5">
        <w:rPr>
          <w:rFonts w:ascii="Calibri" w:eastAsia="Times New Roman" w:hAnsi="Calibri" w:cs="Calibri"/>
          <w:u w:val="single"/>
          <w:lang w:eastAsia="hu-HU"/>
        </w:rPr>
        <w:t>2. melléklet: a 14/2017. (IV. 27.) számú önkormányzati rendelethez:</w:t>
      </w:r>
    </w:p>
    <w:p w14:paraId="1E203DD2" w14:textId="77777777" w:rsidR="00F566D5" w:rsidRPr="00F566D5" w:rsidRDefault="00F566D5" w:rsidP="00F566D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14:paraId="55F0604E" w14:textId="77777777" w:rsidR="00F566D5" w:rsidRPr="00F566D5" w:rsidRDefault="00F566D5" w:rsidP="00F566D5">
      <w:pPr>
        <w:spacing w:after="0" w:line="240" w:lineRule="auto"/>
        <w:jc w:val="center"/>
        <w:rPr>
          <w:rFonts w:ascii="Calibri" w:eastAsia="Times New Roman" w:hAnsi="Calibri" w:cs="Calibri"/>
          <w:b/>
          <w:lang w:eastAsia="hu-HU"/>
        </w:rPr>
      </w:pPr>
      <w:r w:rsidRPr="00F566D5">
        <w:rPr>
          <w:rFonts w:ascii="Calibri" w:eastAsia="Times New Roman" w:hAnsi="Calibri" w:cs="Calibri"/>
          <w:b/>
          <w:lang w:eastAsia="hu-HU"/>
        </w:rPr>
        <w:t>A fizető parkolóhelyeken alkalmazandó várakozási díjak, bérletek díja, a jogosulatlan használatért fizetendő pótdíj mértéke</w:t>
      </w:r>
    </w:p>
    <w:p w14:paraId="01AB60F7" w14:textId="77777777" w:rsidR="00F566D5" w:rsidRPr="00F566D5" w:rsidRDefault="00F566D5" w:rsidP="00F566D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14:paraId="26B381EE" w14:textId="77777777" w:rsidR="00F566D5" w:rsidRPr="00F566D5" w:rsidRDefault="00F566D5" w:rsidP="00F566D5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  <w:r w:rsidRPr="00F566D5">
        <w:rPr>
          <w:rFonts w:ascii="Calibri" w:eastAsia="Times New Roman" w:hAnsi="Calibri" w:cs="Calibri"/>
          <w:b/>
          <w:u w:val="single"/>
          <w:lang w:eastAsia="hu-HU"/>
        </w:rPr>
        <w:t>Várakozási díj mértéke</w:t>
      </w:r>
      <w:r w:rsidRPr="00F566D5">
        <w:rPr>
          <w:rFonts w:ascii="Calibri" w:eastAsia="Times New Roman" w:hAnsi="Calibri" w:cs="Calibri"/>
          <w:b/>
          <w:lang w:eastAsia="hu-HU"/>
        </w:rPr>
        <w:t>:</w:t>
      </w:r>
    </w:p>
    <w:p w14:paraId="4F8C42A8" w14:textId="77777777" w:rsidR="00F566D5" w:rsidRPr="00F566D5" w:rsidRDefault="00F566D5" w:rsidP="00F566D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14:paraId="52E6048A" w14:textId="77777777" w:rsidR="00F566D5" w:rsidRPr="00F566D5" w:rsidRDefault="00F566D5" w:rsidP="00F566D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F566D5">
        <w:rPr>
          <w:rFonts w:ascii="Calibri" w:eastAsia="Times New Roman" w:hAnsi="Calibri" w:cs="Calibri"/>
          <w:lang w:eastAsia="hu-HU"/>
        </w:rPr>
        <w:t>Az 1. melléklet 1-5. pont szerinti fizető parkolóhelyek esetében: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829"/>
      </w:tblGrid>
      <w:tr w:rsidR="00F566D5" w:rsidRPr="00F566D5" w14:paraId="109DF6D7" w14:textId="77777777" w:rsidTr="00212EE1">
        <w:tc>
          <w:tcPr>
            <w:tcW w:w="6799" w:type="dxa"/>
            <w:shd w:val="clear" w:color="auto" w:fill="auto"/>
          </w:tcPr>
          <w:p w14:paraId="5D491658" w14:textId="77777777" w:rsidR="00F566D5" w:rsidRPr="00F566D5" w:rsidRDefault="00F566D5" w:rsidP="00F566D5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hu-HU"/>
              </w:rPr>
            </w:pPr>
            <w:proofErr w:type="spellStart"/>
            <w:r w:rsidRPr="00F566D5">
              <w:rPr>
                <w:rFonts w:ascii="Calibri" w:eastAsia="Calibri" w:hAnsi="Calibri" w:cs="Calibri"/>
                <w:lang w:eastAsia="hu-HU"/>
              </w:rPr>
              <w:t>járművenként</w:t>
            </w:r>
            <w:proofErr w:type="spellEnd"/>
            <w:r w:rsidRPr="00F566D5">
              <w:rPr>
                <w:rFonts w:ascii="Calibri" w:eastAsia="Calibri" w:hAnsi="Calibri" w:cs="Calibri"/>
                <w:lang w:eastAsia="hu-HU"/>
              </w:rPr>
              <w:t xml:space="preserve"> és óránként      </w:t>
            </w:r>
          </w:p>
        </w:tc>
        <w:tc>
          <w:tcPr>
            <w:tcW w:w="2829" w:type="dxa"/>
            <w:shd w:val="clear" w:color="auto" w:fill="auto"/>
          </w:tcPr>
          <w:p w14:paraId="57EB239B" w14:textId="77777777" w:rsidR="00F566D5" w:rsidRPr="00F566D5" w:rsidRDefault="00F566D5" w:rsidP="00F566D5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hu-HU"/>
              </w:rPr>
            </w:pPr>
            <w:r w:rsidRPr="00F566D5">
              <w:rPr>
                <w:rFonts w:ascii="Calibri" w:eastAsia="Calibri" w:hAnsi="Calibri" w:cs="Calibri"/>
                <w:lang w:eastAsia="hu-HU"/>
              </w:rPr>
              <w:t>első óra ingyenes</w:t>
            </w:r>
          </w:p>
          <w:p w14:paraId="72C1D1E3" w14:textId="77777777" w:rsidR="00F566D5" w:rsidRPr="00F566D5" w:rsidRDefault="00F566D5" w:rsidP="00F566D5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hu-HU"/>
              </w:rPr>
            </w:pPr>
            <w:r w:rsidRPr="00F566D5">
              <w:rPr>
                <w:rFonts w:ascii="Calibri" w:eastAsia="Calibri" w:hAnsi="Calibri" w:cs="Calibri"/>
                <w:lang w:eastAsia="hu-HU"/>
              </w:rPr>
              <w:t xml:space="preserve">az követően </w:t>
            </w:r>
            <w:r w:rsidRPr="00F566D5">
              <w:rPr>
                <w:rFonts w:ascii="Calibri" w:eastAsia="Calibri" w:hAnsi="Calibri" w:cs="Calibri"/>
                <w:b/>
                <w:i/>
                <w:lang w:eastAsia="hu-HU"/>
              </w:rPr>
              <w:t>240</w:t>
            </w:r>
            <w:r w:rsidRPr="00F566D5">
              <w:rPr>
                <w:rFonts w:ascii="Calibri" w:eastAsia="Calibri" w:hAnsi="Calibri" w:cs="Calibri"/>
                <w:lang w:eastAsia="hu-HU"/>
              </w:rPr>
              <w:t>,- Ft</w:t>
            </w:r>
          </w:p>
        </w:tc>
      </w:tr>
    </w:tbl>
    <w:p w14:paraId="171355DF" w14:textId="77777777" w:rsidR="00F566D5" w:rsidRPr="00F566D5" w:rsidRDefault="00F566D5" w:rsidP="00F566D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14:paraId="5BD21597" w14:textId="77777777" w:rsidR="00F566D5" w:rsidRPr="00F566D5" w:rsidRDefault="00F566D5" w:rsidP="00F566D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F566D5">
        <w:rPr>
          <w:rFonts w:ascii="Calibri" w:eastAsia="Times New Roman" w:hAnsi="Calibri" w:cs="Calibri"/>
          <w:lang w:eastAsia="hu-HU"/>
        </w:rPr>
        <w:t>Az 1. melléklet 6. pont szerinti fizető parkolóhelyek esetében: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829"/>
      </w:tblGrid>
      <w:tr w:rsidR="00F566D5" w:rsidRPr="00F566D5" w14:paraId="6DD84CDB" w14:textId="77777777" w:rsidTr="00212EE1">
        <w:tc>
          <w:tcPr>
            <w:tcW w:w="6799" w:type="dxa"/>
            <w:shd w:val="clear" w:color="auto" w:fill="auto"/>
          </w:tcPr>
          <w:p w14:paraId="259329EF" w14:textId="77777777" w:rsidR="00F566D5" w:rsidRPr="00F566D5" w:rsidRDefault="00F566D5" w:rsidP="00F566D5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hu-HU"/>
              </w:rPr>
            </w:pPr>
            <w:proofErr w:type="spellStart"/>
            <w:r w:rsidRPr="00F566D5">
              <w:rPr>
                <w:rFonts w:ascii="Calibri" w:eastAsia="Calibri" w:hAnsi="Calibri" w:cs="Calibri"/>
                <w:lang w:eastAsia="hu-HU"/>
              </w:rPr>
              <w:t>járművenként</w:t>
            </w:r>
            <w:proofErr w:type="spellEnd"/>
            <w:r w:rsidRPr="00F566D5">
              <w:rPr>
                <w:rFonts w:ascii="Calibri" w:eastAsia="Calibri" w:hAnsi="Calibri" w:cs="Calibri"/>
                <w:lang w:eastAsia="hu-HU"/>
              </w:rPr>
              <w:t xml:space="preserve"> és óránként      </w:t>
            </w:r>
          </w:p>
        </w:tc>
        <w:tc>
          <w:tcPr>
            <w:tcW w:w="2829" w:type="dxa"/>
            <w:shd w:val="clear" w:color="auto" w:fill="auto"/>
          </w:tcPr>
          <w:p w14:paraId="19BC74C4" w14:textId="77777777" w:rsidR="00F566D5" w:rsidRPr="00F566D5" w:rsidRDefault="00F566D5" w:rsidP="00F566D5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hu-HU"/>
              </w:rPr>
            </w:pPr>
            <w:r w:rsidRPr="00F566D5">
              <w:rPr>
                <w:rFonts w:ascii="Calibri" w:eastAsia="Calibri" w:hAnsi="Calibri" w:cs="Calibri"/>
                <w:b/>
                <w:i/>
                <w:lang w:eastAsia="hu-HU"/>
              </w:rPr>
              <w:t>240</w:t>
            </w:r>
            <w:r w:rsidRPr="00F566D5">
              <w:rPr>
                <w:rFonts w:ascii="Calibri" w:eastAsia="Calibri" w:hAnsi="Calibri" w:cs="Calibri"/>
                <w:lang w:eastAsia="hu-HU"/>
              </w:rPr>
              <w:t>,- Ft</w:t>
            </w:r>
          </w:p>
        </w:tc>
      </w:tr>
    </w:tbl>
    <w:p w14:paraId="1E095C9B" w14:textId="77777777" w:rsidR="00F566D5" w:rsidRPr="00F566D5" w:rsidRDefault="00F566D5" w:rsidP="00F566D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14:paraId="68326146" w14:textId="77777777" w:rsidR="00F566D5" w:rsidRPr="00F566D5" w:rsidRDefault="00F566D5" w:rsidP="00F566D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F566D5">
        <w:rPr>
          <w:rFonts w:ascii="Calibri" w:eastAsia="Times New Roman" w:hAnsi="Calibri" w:cs="Calibri"/>
          <w:lang w:eastAsia="hu-HU"/>
        </w:rPr>
        <w:t>Autóbusz és járműszerelvény (KRESZ 1. sz. függelék II/p.) esetén annyiszor kell a kívánt időre parkolójegyet váltani, amennyi parkolóhelyet a jármű (-szerelvény) elfoglal.</w:t>
      </w:r>
    </w:p>
    <w:p w14:paraId="6FCAB8C2" w14:textId="77777777" w:rsidR="00F566D5" w:rsidRPr="00F566D5" w:rsidRDefault="00F566D5" w:rsidP="00F566D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14:paraId="4F1ECDC2" w14:textId="77777777" w:rsidR="00F566D5" w:rsidRPr="00F566D5" w:rsidRDefault="00F566D5" w:rsidP="00F566D5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  <w:r w:rsidRPr="00F566D5">
        <w:rPr>
          <w:rFonts w:ascii="Calibri" w:eastAsia="Times New Roman" w:hAnsi="Calibri" w:cs="Calibri"/>
          <w:b/>
          <w:u w:val="single"/>
          <w:lang w:eastAsia="hu-HU"/>
        </w:rPr>
        <w:t>Bérletek díja</w:t>
      </w:r>
      <w:r w:rsidRPr="00F566D5">
        <w:rPr>
          <w:rFonts w:ascii="Calibri" w:eastAsia="Times New Roman" w:hAnsi="Calibri" w:cs="Calibri"/>
          <w:b/>
          <w:lang w:eastAsia="hu-HU"/>
        </w:rPr>
        <w:t>:</w:t>
      </w:r>
    </w:p>
    <w:p w14:paraId="6BC858E0" w14:textId="77777777" w:rsidR="00F566D5" w:rsidRPr="00F566D5" w:rsidRDefault="00F566D5" w:rsidP="00F566D5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829"/>
      </w:tblGrid>
      <w:tr w:rsidR="00F566D5" w:rsidRPr="00F566D5" w14:paraId="2A857C87" w14:textId="77777777" w:rsidTr="00212EE1">
        <w:tc>
          <w:tcPr>
            <w:tcW w:w="6799" w:type="dxa"/>
            <w:shd w:val="clear" w:color="auto" w:fill="auto"/>
          </w:tcPr>
          <w:p w14:paraId="00067B92" w14:textId="77777777" w:rsidR="00F566D5" w:rsidRPr="00F566D5" w:rsidRDefault="00F566D5" w:rsidP="00F566D5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hu-HU"/>
              </w:rPr>
            </w:pPr>
            <w:r w:rsidRPr="00F566D5">
              <w:rPr>
                <w:rFonts w:ascii="Calibri" w:eastAsia="Calibri" w:hAnsi="Calibri" w:cs="Calibri"/>
                <w:lang w:eastAsia="hu-HU"/>
              </w:rPr>
              <w:t xml:space="preserve">havi bérlet      </w:t>
            </w:r>
          </w:p>
        </w:tc>
        <w:tc>
          <w:tcPr>
            <w:tcW w:w="2829" w:type="dxa"/>
            <w:shd w:val="clear" w:color="auto" w:fill="auto"/>
          </w:tcPr>
          <w:p w14:paraId="13BF3CA0" w14:textId="77777777" w:rsidR="00F566D5" w:rsidRPr="00F566D5" w:rsidRDefault="00F566D5" w:rsidP="00F566D5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hu-HU"/>
              </w:rPr>
            </w:pPr>
            <w:proofErr w:type="gramStart"/>
            <w:r w:rsidRPr="00F566D5">
              <w:rPr>
                <w:rFonts w:ascii="Calibri" w:eastAsia="Calibri" w:hAnsi="Calibri" w:cs="Calibri"/>
                <w:b/>
                <w:i/>
                <w:lang w:eastAsia="hu-HU"/>
              </w:rPr>
              <w:t>6.000</w:t>
            </w:r>
            <w:r w:rsidRPr="00F566D5">
              <w:rPr>
                <w:rFonts w:ascii="Calibri" w:eastAsia="Calibri" w:hAnsi="Calibri" w:cs="Calibri"/>
                <w:lang w:eastAsia="hu-HU"/>
              </w:rPr>
              <w:t>,-</w:t>
            </w:r>
            <w:proofErr w:type="gramEnd"/>
            <w:r w:rsidRPr="00F566D5">
              <w:rPr>
                <w:rFonts w:ascii="Calibri" w:eastAsia="Calibri" w:hAnsi="Calibri" w:cs="Calibri"/>
                <w:lang w:eastAsia="hu-HU"/>
              </w:rPr>
              <w:t xml:space="preserve"> Ft </w:t>
            </w:r>
          </w:p>
        </w:tc>
      </w:tr>
      <w:tr w:rsidR="00F566D5" w:rsidRPr="00F566D5" w14:paraId="65F74E1F" w14:textId="77777777" w:rsidTr="00212EE1">
        <w:tc>
          <w:tcPr>
            <w:tcW w:w="6799" w:type="dxa"/>
            <w:shd w:val="clear" w:color="auto" w:fill="auto"/>
          </w:tcPr>
          <w:p w14:paraId="5E07033A" w14:textId="77777777" w:rsidR="00F566D5" w:rsidRPr="00F566D5" w:rsidRDefault="00F566D5" w:rsidP="00F566D5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hu-HU"/>
              </w:rPr>
            </w:pPr>
            <w:r w:rsidRPr="00F566D5">
              <w:rPr>
                <w:rFonts w:ascii="Calibri" w:eastAsia="Calibri" w:hAnsi="Calibri" w:cs="Calibri"/>
                <w:lang w:eastAsia="hu-HU"/>
              </w:rPr>
              <w:t>éves bérlet</w:t>
            </w:r>
          </w:p>
        </w:tc>
        <w:tc>
          <w:tcPr>
            <w:tcW w:w="2829" w:type="dxa"/>
            <w:shd w:val="clear" w:color="auto" w:fill="auto"/>
          </w:tcPr>
          <w:p w14:paraId="4E13BAEF" w14:textId="77777777" w:rsidR="00F566D5" w:rsidRPr="00F566D5" w:rsidRDefault="00F566D5" w:rsidP="00F566D5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hu-HU"/>
              </w:rPr>
            </w:pPr>
            <w:proofErr w:type="gramStart"/>
            <w:r w:rsidRPr="00F566D5">
              <w:rPr>
                <w:rFonts w:ascii="Calibri" w:eastAsia="Calibri" w:hAnsi="Calibri" w:cs="Calibri"/>
                <w:b/>
                <w:i/>
                <w:lang w:eastAsia="hu-HU"/>
              </w:rPr>
              <w:t>60.000</w:t>
            </w:r>
            <w:r w:rsidRPr="00F566D5">
              <w:rPr>
                <w:rFonts w:ascii="Calibri" w:eastAsia="Calibri" w:hAnsi="Calibri" w:cs="Calibri"/>
                <w:lang w:eastAsia="hu-HU"/>
              </w:rPr>
              <w:t>,-</w:t>
            </w:r>
            <w:proofErr w:type="gramEnd"/>
            <w:r w:rsidRPr="00F566D5">
              <w:rPr>
                <w:rFonts w:ascii="Calibri" w:eastAsia="Calibri" w:hAnsi="Calibri" w:cs="Calibri"/>
                <w:lang w:eastAsia="hu-HU"/>
              </w:rPr>
              <w:t xml:space="preserve"> Ft </w:t>
            </w:r>
          </w:p>
        </w:tc>
      </w:tr>
    </w:tbl>
    <w:p w14:paraId="5B7CD94C" w14:textId="77777777" w:rsidR="00F566D5" w:rsidRPr="00F566D5" w:rsidRDefault="00F566D5" w:rsidP="00F566D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14:paraId="5FA910E0" w14:textId="77777777" w:rsidR="00F566D5" w:rsidRPr="00F566D5" w:rsidRDefault="00F566D5" w:rsidP="00F566D5">
      <w:pPr>
        <w:spacing w:after="0" w:line="240" w:lineRule="auto"/>
        <w:ind w:right="-1"/>
        <w:jc w:val="both"/>
        <w:rPr>
          <w:rFonts w:ascii="Calibri" w:eastAsia="Times New Roman" w:hAnsi="Calibri" w:cs="Calibri"/>
          <w:lang w:eastAsia="hu-HU"/>
        </w:rPr>
      </w:pPr>
      <w:r w:rsidRPr="00F566D5">
        <w:rPr>
          <w:rFonts w:ascii="Calibri" w:eastAsia="Times New Roman" w:hAnsi="Calibri" w:cs="Calibri"/>
          <w:lang w:eastAsia="hu-HU"/>
        </w:rPr>
        <w:t xml:space="preserve">A havi és éves bérlet váltásakor kedvezményre jogosultak az 1. melléklet 6. pont szerinti fizető parkolóhelyek közvetlen környezetében bejelentett </w:t>
      </w:r>
      <w:proofErr w:type="spellStart"/>
      <w:r w:rsidRPr="00F566D5">
        <w:rPr>
          <w:rFonts w:ascii="Calibri" w:eastAsia="Times New Roman" w:hAnsi="Calibri" w:cs="Calibri"/>
          <w:lang w:eastAsia="hu-HU"/>
        </w:rPr>
        <w:t>telephelyet</w:t>
      </w:r>
      <w:proofErr w:type="spellEnd"/>
      <w:r w:rsidRPr="00F566D5">
        <w:rPr>
          <w:rFonts w:ascii="Calibri" w:eastAsia="Times New Roman" w:hAnsi="Calibri" w:cs="Calibri"/>
          <w:lang w:eastAsia="hu-HU"/>
        </w:rPr>
        <w:t xml:space="preserve"> (amely lehet székhely is) üzemeltető (működtető) egyéni és társas vállalkozók, akik az ingatlant tulajdonosként, vagy bérlőként használják (Kedvezményes bérlet).</w:t>
      </w:r>
    </w:p>
    <w:p w14:paraId="73F93A2A" w14:textId="77777777" w:rsidR="00F566D5" w:rsidRPr="00F566D5" w:rsidRDefault="00F566D5" w:rsidP="00F566D5">
      <w:pPr>
        <w:spacing w:after="0" w:line="240" w:lineRule="auto"/>
        <w:ind w:right="-709"/>
        <w:rPr>
          <w:rFonts w:ascii="Calibri" w:eastAsia="Times New Roman" w:hAnsi="Calibri" w:cs="Calibri"/>
          <w:lang w:eastAsia="hu-HU"/>
        </w:rPr>
      </w:pPr>
    </w:p>
    <w:p w14:paraId="3B394077" w14:textId="77777777" w:rsidR="00F566D5" w:rsidRPr="00F566D5" w:rsidRDefault="00F566D5" w:rsidP="00F566D5">
      <w:pPr>
        <w:spacing w:after="0" w:line="240" w:lineRule="auto"/>
        <w:ind w:right="-709"/>
        <w:rPr>
          <w:rFonts w:ascii="Calibri" w:eastAsia="Times New Roman" w:hAnsi="Calibri" w:cs="Calibri"/>
          <w:lang w:eastAsia="hu-HU"/>
        </w:rPr>
      </w:pPr>
      <w:r w:rsidRPr="00F566D5">
        <w:rPr>
          <w:rFonts w:ascii="Calibri" w:eastAsia="Times New Roman" w:hAnsi="Calibri" w:cs="Calibri"/>
          <w:lang w:eastAsia="hu-HU"/>
        </w:rPr>
        <w:t>Kedvezményes bérlet díja: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829"/>
      </w:tblGrid>
      <w:tr w:rsidR="00F566D5" w:rsidRPr="00F566D5" w14:paraId="6335006F" w14:textId="77777777" w:rsidTr="00212EE1">
        <w:tc>
          <w:tcPr>
            <w:tcW w:w="6799" w:type="dxa"/>
            <w:shd w:val="clear" w:color="auto" w:fill="auto"/>
          </w:tcPr>
          <w:p w14:paraId="1E6ADB97" w14:textId="77777777" w:rsidR="00F566D5" w:rsidRPr="00F566D5" w:rsidRDefault="00F566D5" w:rsidP="00F566D5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hu-HU"/>
              </w:rPr>
            </w:pPr>
            <w:r w:rsidRPr="00F566D5">
              <w:rPr>
                <w:rFonts w:ascii="Calibri" w:eastAsia="Calibri" w:hAnsi="Calibri" w:cs="Calibri"/>
                <w:lang w:eastAsia="hu-HU"/>
              </w:rPr>
              <w:t xml:space="preserve">havi bérlet      </w:t>
            </w:r>
          </w:p>
        </w:tc>
        <w:tc>
          <w:tcPr>
            <w:tcW w:w="2829" w:type="dxa"/>
            <w:shd w:val="clear" w:color="auto" w:fill="auto"/>
          </w:tcPr>
          <w:p w14:paraId="0476F8D7" w14:textId="77777777" w:rsidR="00F566D5" w:rsidRPr="00F566D5" w:rsidRDefault="00F566D5" w:rsidP="00F566D5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hu-HU"/>
              </w:rPr>
            </w:pPr>
            <w:proofErr w:type="gramStart"/>
            <w:r w:rsidRPr="00F566D5">
              <w:rPr>
                <w:rFonts w:ascii="Calibri" w:eastAsia="Calibri" w:hAnsi="Calibri" w:cs="Calibri"/>
                <w:b/>
                <w:i/>
                <w:lang w:eastAsia="hu-HU"/>
              </w:rPr>
              <w:t>4.500</w:t>
            </w:r>
            <w:r w:rsidRPr="00F566D5">
              <w:rPr>
                <w:rFonts w:ascii="Calibri" w:eastAsia="Calibri" w:hAnsi="Calibri" w:cs="Calibri"/>
                <w:lang w:eastAsia="hu-HU"/>
              </w:rPr>
              <w:t>,-</w:t>
            </w:r>
            <w:proofErr w:type="gramEnd"/>
            <w:r w:rsidRPr="00F566D5">
              <w:rPr>
                <w:rFonts w:ascii="Calibri" w:eastAsia="Calibri" w:hAnsi="Calibri" w:cs="Calibri"/>
                <w:lang w:eastAsia="hu-HU"/>
              </w:rPr>
              <w:t xml:space="preserve"> Ft </w:t>
            </w:r>
          </w:p>
        </w:tc>
      </w:tr>
      <w:tr w:rsidR="00F566D5" w:rsidRPr="00F566D5" w14:paraId="164C8CFF" w14:textId="77777777" w:rsidTr="00212EE1">
        <w:tc>
          <w:tcPr>
            <w:tcW w:w="6799" w:type="dxa"/>
            <w:shd w:val="clear" w:color="auto" w:fill="auto"/>
          </w:tcPr>
          <w:p w14:paraId="035E823D" w14:textId="77777777" w:rsidR="00F566D5" w:rsidRPr="00F566D5" w:rsidRDefault="00F566D5" w:rsidP="00F566D5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hu-HU"/>
              </w:rPr>
            </w:pPr>
            <w:r w:rsidRPr="00F566D5">
              <w:rPr>
                <w:rFonts w:ascii="Calibri" w:eastAsia="Calibri" w:hAnsi="Calibri" w:cs="Calibri"/>
                <w:lang w:eastAsia="hu-HU"/>
              </w:rPr>
              <w:t>éves bérlet</w:t>
            </w:r>
          </w:p>
        </w:tc>
        <w:tc>
          <w:tcPr>
            <w:tcW w:w="2829" w:type="dxa"/>
            <w:shd w:val="clear" w:color="auto" w:fill="auto"/>
          </w:tcPr>
          <w:p w14:paraId="5BB6FE74" w14:textId="77777777" w:rsidR="00F566D5" w:rsidRPr="00F566D5" w:rsidRDefault="00F566D5" w:rsidP="00F566D5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hu-HU"/>
              </w:rPr>
            </w:pPr>
            <w:proofErr w:type="gramStart"/>
            <w:r w:rsidRPr="00F566D5">
              <w:rPr>
                <w:rFonts w:ascii="Calibri" w:eastAsia="Calibri" w:hAnsi="Calibri" w:cs="Calibri"/>
                <w:b/>
                <w:i/>
                <w:lang w:eastAsia="hu-HU"/>
              </w:rPr>
              <w:t>45.000</w:t>
            </w:r>
            <w:r w:rsidRPr="00F566D5">
              <w:rPr>
                <w:rFonts w:ascii="Calibri" w:eastAsia="Calibri" w:hAnsi="Calibri" w:cs="Calibri"/>
                <w:lang w:eastAsia="hu-HU"/>
              </w:rPr>
              <w:t>,-</w:t>
            </w:r>
            <w:proofErr w:type="gramEnd"/>
            <w:r w:rsidRPr="00F566D5">
              <w:rPr>
                <w:rFonts w:ascii="Calibri" w:eastAsia="Calibri" w:hAnsi="Calibri" w:cs="Calibri"/>
                <w:lang w:eastAsia="hu-HU"/>
              </w:rPr>
              <w:t xml:space="preserve"> Ft</w:t>
            </w:r>
          </w:p>
        </w:tc>
      </w:tr>
    </w:tbl>
    <w:p w14:paraId="11C9D8D9" w14:textId="77777777" w:rsidR="00F566D5" w:rsidRPr="00F566D5" w:rsidRDefault="00F566D5" w:rsidP="00F566D5">
      <w:pPr>
        <w:spacing w:after="0" w:line="240" w:lineRule="auto"/>
        <w:ind w:right="-709"/>
        <w:rPr>
          <w:rFonts w:ascii="Calibri" w:eastAsia="Times New Roman" w:hAnsi="Calibri" w:cs="Calibri"/>
          <w:lang w:eastAsia="hu-HU"/>
        </w:rPr>
      </w:pPr>
    </w:p>
    <w:p w14:paraId="0790B7E1" w14:textId="77777777" w:rsidR="00F566D5" w:rsidRPr="00F566D5" w:rsidRDefault="00F566D5" w:rsidP="00F566D5">
      <w:pPr>
        <w:spacing w:after="0" w:line="240" w:lineRule="auto"/>
        <w:ind w:right="-709"/>
        <w:rPr>
          <w:rFonts w:ascii="Calibri" w:eastAsia="Times New Roman" w:hAnsi="Calibri" w:cs="Calibri"/>
          <w:b/>
          <w:lang w:eastAsia="hu-HU"/>
        </w:rPr>
      </w:pPr>
      <w:r w:rsidRPr="00F566D5">
        <w:rPr>
          <w:rFonts w:ascii="Calibri" w:eastAsia="Times New Roman" w:hAnsi="Calibri" w:cs="Calibri"/>
          <w:b/>
          <w:u w:val="single"/>
          <w:lang w:eastAsia="hu-HU"/>
        </w:rPr>
        <w:t xml:space="preserve">Pótdíj mértéke </w:t>
      </w:r>
      <w:proofErr w:type="spellStart"/>
      <w:r w:rsidRPr="00F566D5">
        <w:rPr>
          <w:rFonts w:ascii="Calibri" w:eastAsia="Times New Roman" w:hAnsi="Calibri" w:cs="Calibri"/>
          <w:b/>
          <w:u w:val="single"/>
          <w:lang w:eastAsia="hu-HU"/>
        </w:rPr>
        <w:t>járművenként</w:t>
      </w:r>
      <w:proofErr w:type="spellEnd"/>
      <w:r w:rsidRPr="00F566D5">
        <w:rPr>
          <w:rFonts w:ascii="Calibri" w:eastAsia="Times New Roman" w:hAnsi="Calibri" w:cs="Calibri"/>
          <w:b/>
          <w:u w:val="single"/>
          <w:lang w:eastAsia="hu-HU"/>
        </w:rPr>
        <w:t xml:space="preserve"> és alkalmanként</w:t>
      </w:r>
      <w:r w:rsidRPr="00F566D5">
        <w:rPr>
          <w:rFonts w:ascii="Calibri" w:eastAsia="Times New Roman" w:hAnsi="Calibri" w:cs="Calibri"/>
          <w:b/>
          <w:lang w:eastAsia="hu-HU"/>
        </w:rPr>
        <w:t>:</w:t>
      </w:r>
    </w:p>
    <w:p w14:paraId="55EAEB4F" w14:textId="77777777" w:rsidR="00F566D5" w:rsidRPr="00F566D5" w:rsidRDefault="00F566D5" w:rsidP="00F566D5">
      <w:pPr>
        <w:spacing w:after="0" w:line="240" w:lineRule="auto"/>
        <w:ind w:right="-709"/>
        <w:rPr>
          <w:rFonts w:ascii="Calibri" w:eastAsia="Times New Roman" w:hAnsi="Calibri" w:cs="Calibri"/>
          <w:b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829"/>
      </w:tblGrid>
      <w:tr w:rsidR="00F566D5" w:rsidRPr="00F566D5" w14:paraId="3B390077" w14:textId="77777777" w:rsidTr="00212EE1">
        <w:tc>
          <w:tcPr>
            <w:tcW w:w="6799" w:type="dxa"/>
            <w:shd w:val="clear" w:color="auto" w:fill="auto"/>
          </w:tcPr>
          <w:p w14:paraId="305214DC" w14:textId="77777777" w:rsidR="00F566D5" w:rsidRPr="00F566D5" w:rsidRDefault="00F566D5" w:rsidP="00F566D5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hu-HU"/>
              </w:rPr>
            </w:pPr>
            <w:r w:rsidRPr="00F566D5">
              <w:rPr>
                <w:rFonts w:ascii="Calibri" w:eastAsia="Calibri" w:hAnsi="Calibri" w:cs="Calibri"/>
                <w:lang w:eastAsia="hu-HU"/>
              </w:rPr>
              <w:t xml:space="preserve">15 napon belül befizetés esetén      </w:t>
            </w:r>
          </w:p>
        </w:tc>
        <w:tc>
          <w:tcPr>
            <w:tcW w:w="2829" w:type="dxa"/>
            <w:shd w:val="clear" w:color="auto" w:fill="auto"/>
          </w:tcPr>
          <w:p w14:paraId="57F7099F" w14:textId="77777777" w:rsidR="00F566D5" w:rsidRPr="00F566D5" w:rsidRDefault="00F566D5" w:rsidP="00F566D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lang w:eastAsia="hu-HU"/>
              </w:rPr>
            </w:pPr>
            <w:proofErr w:type="gramStart"/>
            <w:r w:rsidRPr="00F566D5">
              <w:rPr>
                <w:rFonts w:ascii="Calibri" w:eastAsia="Calibri" w:hAnsi="Calibri" w:cs="Calibri"/>
                <w:b/>
                <w:i/>
                <w:lang w:eastAsia="hu-HU"/>
              </w:rPr>
              <w:t>2.400,-</w:t>
            </w:r>
            <w:proofErr w:type="gramEnd"/>
            <w:r w:rsidRPr="00F566D5">
              <w:rPr>
                <w:rFonts w:ascii="Calibri" w:eastAsia="Calibri" w:hAnsi="Calibri" w:cs="Calibri"/>
                <w:b/>
                <w:i/>
                <w:lang w:eastAsia="hu-HU"/>
              </w:rPr>
              <w:t xml:space="preserve"> Ft</w:t>
            </w:r>
          </w:p>
        </w:tc>
      </w:tr>
      <w:tr w:rsidR="00F566D5" w:rsidRPr="00F566D5" w14:paraId="0AE63E20" w14:textId="77777777" w:rsidTr="00212EE1">
        <w:tc>
          <w:tcPr>
            <w:tcW w:w="6799" w:type="dxa"/>
            <w:shd w:val="clear" w:color="auto" w:fill="auto"/>
          </w:tcPr>
          <w:p w14:paraId="14D397B2" w14:textId="77777777" w:rsidR="00F566D5" w:rsidRPr="00F566D5" w:rsidRDefault="00F566D5" w:rsidP="00F566D5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hu-HU"/>
              </w:rPr>
            </w:pPr>
            <w:r w:rsidRPr="00F566D5">
              <w:rPr>
                <w:rFonts w:ascii="Calibri" w:eastAsia="Calibri" w:hAnsi="Calibri" w:cs="Calibri"/>
                <w:lang w:eastAsia="hu-HU"/>
              </w:rPr>
              <w:t xml:space="preserve">15 napon túli befizetés esetén </w:t>
            </w:r>
          </w:p>
        </w:tc>
        <w:tc>
          <w:tcPr>
            <w:tcW w:w="2829" w:type="dxa"/>
            <w:shd w:val="clear" w:color="auto" w:fill="auto"/>
          </w:tcPr>
          <w:p w14:paraId="146F3F90" w14:textId="77777777" w:rsidR="00F566D5" w:rsidRPr="00F566D5" w:rsidRDefault="00F566D5" w:rsidP="00F566D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lang w:eastAsia="hu-HU"/>
              </w:rPr>
            </w:pPr>
            <w:proofErr w:type="gramStart"/>
            <w:r w:rsidRPr="00F566D5">
              <w:rPr>
                <w:rFonts w:ascii="Calibri" w:eastAsia="Calibri" w:hAnsi="Calibri" w:cs="Calibri"/>
                <w:b/>
                <w:i/>
                <w:lang w:eastAsia="hu-HU"/>
              </w:rPr>
              <w:t>9.600,-</w:t>
            </w:r>
            <w:proofErr w:type="gramEnd"/>
            <w:r w:rsidRPr="00F566D5">
              <w:rPr>
                <w:rFonts w:ascii="Calibri" w:eastAsia="Calibri" w:hAnsi="Calibri" w:cs="Calibri"/>
                <w:b/>
                <w:i/>
                <w:lang w:eastAsia="hu-HU"/>
              </w:rPr>
              <w:t xml:space="preserve"> Ft</w:t>
            </w:r>
          </w:p>
        </w:tc>
      </w:tr>
    </w:tbl>
    <w:p w14:paraId="3DE9F7B0" w14:textId="77777777" w:rsidR="00F566D5" w:rsidRPr="00F566D5" w:rsidRDefault="00F566D5" w:rsidP="00F566D5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14:paraId="53CFFF44" w14:textId="77777777" w:rsidR="00F566D5" w:rsidRPr="00F566D5" w:rsidRDefault="00F566D5" w:rsidP="00F566D5">
      <w:pPr>
        <w:spacing w:after="0" w:line="240" w:lineRule="auto"/>
        <w:jc w:val="center"/>
        <w:rPr>
          <w:rFonts w:ascii="Calibri" w:eastAsia="Times New Roman" w:hAnsi="Calibri" w:cs="Calibri"/>
          <w:lang w:eastAsia="hu-HU"/>
        </w:rPr>
      </w:pPr>
      <w:r w:rsidRPr="00F566D5">
        <w:rPr>
          <w:rFonts w:ascii="Calibri" w:eastAsia="Times New Roman" w:hAnsi="Calibri" w:cs="Calibri"/>
          <w:lang w:eastAsia="hu-HU"/>
        </w:rPr>
        <w:t>***</w:t>
      </w:r>
    </w:p>
    <w:p w14:paraId="6D80B5DB" w14:textId="77777777" w:rsidR="00F566D5" w:rsidRPr="00F566D5" w:rsidRDefault="00F566D5" w:rsidP="00F566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2BE0DAB" w14:textId="77777777" w:rsidR="00ED48A8" w:rsidRDefault="00ED48A8"/>
    <w:sectPr w:rsidR="00ED48A8" w:rsidSect="00CF61AD">
      <w:headerReference w:type="default" r:id="rId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D90CF" w14:textId="77777777" w:rsidR="0087088E" w:rsidRPr="0087088E" w:rsidRDefault="00F566D5">
    <w:pPr>
      <w:pStyle w:val="lfej"/>
      <w:jc w:val="center"/>
      <w:rPr>
        <w:rFonts w:ascii="Calibri" w:hAnsi="Calibri" w:cs="Calibri"/>
      </w:rPr>
    </w:pPr>
    <w:r w:rsidRPr="0087088E">
      <w:rPr>
        <w:rFonts w:ascii="Calibri" w:hAnsi="Calibri" w:cs="Calibri"/>
      </w:rPr>
      <w:fldChar w:fldCharType="begin"/>
    </w:r>
    <w:r w:rsidRPr="0087088E">
      <w:rPr>
        <w:rFonts w:ascii="Calibri" w:hAnsi="Calibri" w:cs="Calibri"/>
      </w:rPr>
      <w:instrText>PAGE   \* MERGEFORMAT</w:instrText>
    </w:r>
    <w:r w:rsidRPr="0087088E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3</w:t>
    </w:r>
    <w:r w:rsidRPr="0087088E">
      <w:rPr>
        <w:rFonts w:ascii="Calibri" w:hAnsi="Calibri" w:cs="Calibri"/>
      </w:rPr>
      <w:fldChar w:fldCharType="end"/>
    </w:r>
  </w:p>
  <w:p w14:paraId="523957F3" w14:textId="77777777" w:rsidR="0087088E" w:rsidRDefault="00F566D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622CF"/>
    <w:multiLevelType w:val="hybridMultilevel"/>
    <w:tmpl w:val="23FA77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D5"/>
    <w:rsid w:val="00153359"/>
    <w:rsid w:val="00345BF4"/>
    <w:rsid w:val="003F7A1D"/>
    <w:rsid w:val="00B70AB7"/>
    <w:rsid w:val="00EA57FE"/>
    <w:rsid w:val="00ED48A8"/>
    <w:rsid w:val="00F5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8502"/>
  <w15:chartTrackingRefBased/>
  <w15:docId w15:val="{2519439F-D6A1-4E75-B3F3-CFE24175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F566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F566D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Salamon Irénke 2</dc:creator>
  <cp:keywords/>
  <dc:description/>
  <cp:lastModifiedBy>Salamon Irénke 2</cp:lastModifiedBy>
  <cp:revision>1</cp:revision>
  <dcterms:created xsi:type="dcterms:W3CDTF">2020-10-29T09:15:00Z</dcterms:created>
  <dcterms:modified xsi:type="dcterms:W3CDTF">2020-10-29T09:16:00Z</dcterms:modified>
</cp:coreProperties>
</file>