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629" w:rsidRPr="00F560D3" w:rsidRDefault="005E4629" w:rsidP="005E4629">
      <w:pPr>
        <w:numPr>
          <w:ilvl w:val="0"/>
          <w:numId w:val="1"/>
        </w:numPr>
        <w:jc w:val="right"/>
        <w:rPr>
          <w:b/>
          <w:sz w:val="24"/>
          <w:szCs w:val="24"/>
        </w:rPr>
      </w:pPr>
      <w:r w:rsidRPr="00F560D3">
        <w:rPr>
          <w:b/>
          <w:sz w:val="24"/>
          <w:szCs w:val="24"/>
        </w:rPr>
        <w:t>melléklet</w:t>
      </w:r>
    </w:p>
    <w:p w:rsidR="005E4629" w:rsidRPr="00F560D3" w:rsidRDefault="005E4629" w:rsidP="005E4629">
      <w:pPr>
        <w:ind w:left="720"/>
        <w:jc w:val="right"/>
        <w:rPr>
          <w:b/>
          <w:sz w:val="24"/>
          <w:szCs w:val="24"/>
        </w:rPr>
      </w:pPr>
      <w:r w:rsidRPr="00F560D3">
        <w:rPr>
          <w:b/>
          <w:sz w:val="24"/>
          <w:szCs w:val="24"/>
        </w:rPr>
        <w:t>a 14/2013.(IX.30.) önkormányzati rendelethez</w:t>
      </w:r>
    </w:p>
    <w:p w:rsidR="005E4629" w:rsidRDefault="005E4629" w:rsidP="005E4629">
      <w:pPr>
        <w:jc w:val="center"/>
        <w:rPr>
          <w:sz w:val="24"/>
          <w:szCs w:val="24"/>
        </w:rPr>
      </w:pPr>
    </w:p>
    <w:p w:rsidR="005E4629" w:rsidRDefault="005E4629" w:rsidP="005E4629">
      <w:pPr>
        <w:jc w:val="center"/>
        <w:rPr>
          <w:sz w:val="24"/>
          <w:szCs w:val="24"/>
        </w:rPr>
      </w:pPr>
    </w:p>
    <w:p w:rsidR="005E4629" w:rsidRPr="00A6581D" w:rsidRDefault="005E4629" w:rsidP="005E4629">
      <w:pPr>
        <w:jc w:val="center"/>
        <w:rPr>
          <w:b/>
          <w:sz w:val="24"/>
          <w:szCs w:val="24"/>
        </w:rPr>
      </w:pPr>
      <w:r w:rsidRPr="00A6581D">
        <w:rPr>
          <w:b/>
          <w:sz w:val="24"/>
          <w:szCs w:val="24"/>
        </w:rPr>
        <w:t xml:space="preserve">Az önkormányzat tulajdonában álló közterületek </w:t>
      </w:r>
    </w:p>
    <w:p w:rsidR="005E4629" w:rsidRPr="00A6581D" w:rsidRDefault="005E4629" w:rsidP="005E4629">
      <w:pPr>
        <w:jc w:val="center"/>
        <w:rPr>
          <w:b/>
          <w:sz w:val="24"/>
          <w:szCs w:val="24"/>
        </w:rPr>
      </w:pPr>
      <w:r w:rsidRPr="00A6581D">
        <w:rPr>
          <w:b/>
          <w:sz w:val="24"/>
          <w:szCs w:val="24"/>
        </w:rPr>
        <w:t>Filmforgatási célú közterület-használati díjai</w:t>
      </w:r>
    </w:p>
    <w:p w:rsidR="005E4629" w:rsidRPr="00A6581D" w:rsidRDefault="005E4629" w:rsidP="005E4629">
      <w:pPr>
        <w:spacing w:line="100" w:lineRule="atLeast"/>
        <w:jc w:val="both"/>
        <w:rPr>
          <w:b/>
          <w:sz w:val="24"/>
          <w:szCs w:val="24"/>
        </w:rPr>
      </w:pPr>
    </w:p>
    <w:p w:rsidR="005E4629" w:rsidRPr="00A6581D" w:rsidRDefault="005E4629" w:rsidP="005E4629">
      <w:pPr>
        <w:spacing w:line="100" w:lineRule="atLeast"/>
        <w:jc w:val="both"/>
        <w:rPr>
          <w:b/>
          <w:sz w:val="24"/>
          <w:szCs w:val="24"/>
        </w:rPr>
      </w:pPr>
      <w:r w:rsidRPr="00A6581D">
        <w:rPr>
          <w:b/>
          <w:sz w:val="24"/>
          <w:szCs w:val="24"/>
        </w:rPr>
        <w:t xml:space="preserve">A közterület filmforgatási célú igénybevételéért fizetendő díj: </w:t>
      </w:r>
    </w:p>
    <w:p w:rsidR="005E4629" w:rsidRPr="00A6581D" w:rsidRDefault="005E4629" w:rsidP="005E4629">
      <w:pPr>
        <w:spacing w:line="100" w:lineRule="atLeast"/>
        <w:jc w:val="both"/>
        <w:rPr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4"/>
      </w:tblGrid>
      <w:tr w:rsidR="005E4629" w:rsidRPr="00A6581D" w:rsidTr="00DA7E5B">
        <w:tc>
          <w:tcPr>
            <w:tcW w:w="1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4629" w:rsidRPr="00A6581D" w:rsidRDefault="005E4629" w:rsidP="00DA7E5B">
            <w:pPr>
              <w:pStyle w:val="Tblzattartalom"/>
              <w:snapToGrid w:val="0"/>
              <w:spacing w:after="200"/>
              <w:jc w:val="both"/>
            </w:pPr>
          </w:p>
        </w:tc>
        <w:tc>
          <w:tcPr>
            <w:tcW w:w="1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E4629" w:rsidRPr="00A6581D" w:rsidRDefault="005E4629" w:rsidP="00DA7E5B">
            <w:pPr>
              <w:pStyle w:val="Tblzattartalom"/>
              <w:spacing w:line="100" w:lineRule="atLeast"/>
              <w:jc w:val="center"/>
            </w:pPr>
            <w:r w:rsidRPr="00A6581D">
              <w:t>Forgatási terület</w:t>
            </w:r>
          </w:p>
          <w:p w:rsidR="005E4629" w:rsidRPr="00A6581D" w:rsidRDefault="005E4629" w:rsidP="00DA7E5B">
            <w:pPr>
              <w:pStyle w:val="Tblzattartalom"/>
              <w:spacing w:line="100" w:lineRule="atLeast"/>
              <w:jc w:val="center"/>
            </w:pPr>
            <w:r w:rsidRPr="00A6581D">
              <w:t>Ft/m2/nap</w:t>
            </w:r>
          </w:p>
        </w:tc>
        <w:tc>
          <w:tcPr>
            <w:tcW w:w="1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E4629" w:rsidRPr="00A6581D" w:rsidRDefault="005E4629" w:rsidP="00DA7E5B">
            <w:pPr>
              <w:pStyle w:val="Tblzattartalom"/>
              <w:spacing w:line="100" w:lineRule="atLeast"/>
              <w:jc w:val="center"/>
            </w:pPr>
            <w:r w:rsidRPr="00A6581D">
              <w:t>Technikai terület</w:t>
            </w:r>
          </w:p>
          <w:p w:rsidR="005E4629" w:rsidRPr="00A6581D" w:rsidRDefault="005E4629" w:rsidP="00DA7E5B">
            <w:pPr>
              <w:pStyle w:val="Tblzattartalom"/>
              <w:spacing w:line="100" w:lineRule="atLeast"/>
              <w:jc w:val="center"/>
            </w:pPr>
            <w:r w:rsidRPr="00A6581D">
              <w:t>Ft/m2/nap</w:t>
            </w:r>
          </w:p>
        </w:tc>
        <w:tc>
          <w:tcPr>
            <w:tcW w:w="1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E4629" w:rsidRPr="00A6581D" w:rsidRDefault="005E4629" w:rsidP="00DA7E5B">
            <w:pPr>
              <w:pStyle w:val="Tblzattartalom"/>
              <w:spacing w:line="100" w:lineRule="atLeast"/>
              <w:jc w:val="center"/>
            </w:pPr>
            <w:r w:rsidRPr="00A6581D">
              <w:t>Stábparkolási terület</w:t>
            </w:r>
          </w:p>
          <w:p w:rsidR="005E4629" w:rsidRPr="00A6581D" w:rsidRDefault="005E4629" w:rsidP="00DA7E5B">
            <w:pPr>
              <w:pStyle w:val="Tblzattartalom"/>
              <w:spacing w:line="100" w:lineRule="atLeast"/>
              <w:jc w:val="center"/>
            </w:pPr>
            <w:r w:rsidRPr="00A6581D">
              <w:t>Ft/m2/nap</w:t>
            </w:r>
          </w:p>
        </w:tc>
        <w:tc>
          <w:tcPr>
            <w:tcW w:w="1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E4629" w:rsidRPr="00A6581D" w:rsidRDefault="005E4629" w:rsidP="00DA7E5B">
            <w:pPr>
              <w:pStyle w:val="Tblzattartalom"/>
              <w:spacing w:line="100" w:lineRule="atLeast"/>
              <w:jc w:val="center"/>
            </w:pPr>
            <w:r w:rsidRPr="00A6581D">
              <w:t>Kiürítési terület</w:t>
            </w:r>
          </w:p>
          <w:p w:rsidR="005E4629" w:rsidRPr="00A6581D" w:rsidRDefault="005E4629" w:rsidP="00DA7E5B">
            <w:pPr>
              <w:pStyle w:val="Tblzattartalom"/>
              <w:spacing w:line="100" w:lineRule="atLeast"/>
              <w:jc w:val="center"/>
            </w:pPr>
            <w:r w:rsidRPr="00A6581D">
              <w:t>Ft/m2/nap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E4629" w:rsidRPr="00A6581D" w:rsidRDefault="005E4629" w:rsidP="00DA7E5B">
            <w:pPr>
              <w:pStyle w:val="Tblzattartalom"/>
              <w:spacing w:line="100" w:lineRule="atLeast"/>
              <w:jc w:val="center"/>
            </w:pPr>
            <w:proofErr w:type="spellStart"/>
            <w:r w:rsidRPr="00A6581D">
              <w:t>Forgalomtech-nikai</w:t>
            </w:r>
            <w:proofErr w:type="spellEnd"/>
            <w:r w:rsidRPr="00A6581D">
              <w:t xml:space="preserve"> biztonsági terület Ft/m2/nap</w:t>
            </w:r>
          </w:p>
        </w:tc>
      </w:tr>
      <w:tr w:rsidR="005E4629" w:rsidRPr="00A6581D" w:rsidTr="00DA7E5B"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E4629" w:rsidRPr="00A6581D" w:rsidRDefault="005E4629" w:rsidP="00DA7E5B">
            <w:pPr>
              <w:pStyle w:val="Tblzattartalom"/>
              <w:spacing w:after="200"/>
              <w:jc w:val="both"/>
            </w:pPr>
            <w:r w:rsidRPr="00A6581D">
              <w:t>Egész napra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E4629" w:rsidRPr="00A6581D" w:rsidRDefault="005E4629" w:rsidP="00DA7E5B">
            <w:pPr>
              <w:pStyle w:val="Tblzattartalom"/>
              <w:spacing w:after="200" w:line="276" w:lineRule="auto"/>
              <w:ind w:left="53" w:right="496"/>
              <w:jc w:val="right"/>
            </w:pPr>
            <w:r w:rsidRPr="00A6581D">
              <w:t>208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E4629" w:rsidRPr="00A6581D" w:rsidRDefault="005E4629" w:rsidP="00DA7E5B">
            <w:pPr>
              <w:pStyle w:val="Tblzattartalom"/>
              <w:spacing w:after="200" w:line="276" w:lineRule="auto"/>
              <w:ind w:left="53" w:right="496"/>
              <w:jc w:val="right"/>
            </w:pPr>
            <w:r w:rsidRPr="00A6581D">
              <w:t>156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E4629" w:rsidRPr="00A6581D" w:rsidRDefault="005E4629" w:rsidP="00DA7E5B">
            <w:pPr>
              <w:pStyle w:val="Tblzattartalom"/>
              <w:spacing w:after="200" w:line="276" w:lineRule="auto"/>
              <w:ind w:left="53" w:right="496"/>
              <w:jc w:val="right"/>
            </w:pPr>
            <w:r w:rsidRPr="00A6581D">
              <w:t>104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E4629" w:rsidRPr="00A6581D" w:rsidRDefault="005E4629" w:rsidP="00DA7E5B">
            <w:pPr>
              <w:pStyle w:val="Tblzattartalom"/>
              <w:spacing w:after="200" w:line="276" w:lineRule="auto"/>
              <w:ind w:left="53" w:right="496"/>
              <w:jc w:val="right"/>
            </w:pPr>
            <w:r w:rsidRPr="00A6581D">
              <w:t>104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E4629" w:rsidRPr="00A6581D" w:rsidRDefault="005E4629" w:rsidP="00DA7E5B">
            <w:pPr>
              <w:pStyle w:val="Tblzattartalom"/>
              <w:spacing w:after="200" w:line="276" w:lineRule="auto"/>
              <w:ind w:left="53" w:right="496"/>
              <w:jc w:val="right"/>
            </w:pPr>
            <w:r w:rsidRPr="00A6581D">
              <w:t>10</w:t>
            </w:r>
          </w:p>
        </w:tc>
      </w:tr>
      <w:tr w:rsidR="005E4629" w:rsidRPr="00A6581D" w:rsidTr="00DA7E5B"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E4629" w:rsidRPr="00A6581D" w:rsidRDefault="005E4629" w:rsidP="00DA7E5B">
            <w:pPr>
              <w:pStyle w:val="Tblzattartalom"/>
              <w:spacing w:after="200"/>
              <w:jc w:val="both"/>
            </w:pPr>
            <w:r w:rsidRPr="00A6581D">
              <w:t>Töredéknap esetén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E4629" w:rsidRPr="00A6581D" w:rsidRDefault="005E4629" w:rsidP="00DA7E5B">
            <w:pPr>
              <w:pStyle w:val="Tblzattartalom"/>
              <w:spacing w:after="200" w:line="276" w:lineRule="auto"/>
              <w:ind w:left="53" w:right="496"/>
              <w:jc w:val="right"/>
            </w:pPr>
            <w:r w:rsidRPr="00A6581D">
              <w:t>104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E4629" w:rsidRPr="00A6581D" w:rsidRDefault="005E4629" w:rsidP="00DA7E5B">
            <w:pPr>
              <w:pStyle w:val="Tblzattartalom"/>
              <w:spacing w:after="200" w:line="276" w:lineRule="auto"/>
              <w:ind w:left="53" w:right="496"/>
              <w:jc w:val="right"/>
            </w:pPr>
            <w:r w:rsidRPr="00A6581D">
              <w:t>78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E4629" w:rsidRPr="00A6581D" w:rsidRDefault="005E4629" w:rsidP="00DA7E5B">
            <w:pPr>
              <w:pStyle w:val="Tblzattartalom"/>
              <w:spacing w:after="200" w:line="276" w:lineRule="auto"/>
              <w:ind w:left="53" w:right="496"/>
              <w:jc w:val="right"/>
            </w:pPr>
            <w:r w:rsidRPr="00A6581D">
              <w:t>52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E4629" w:rsidRPr="00A6581D" w:rsidRDefault="005E4629" w:rsidP="00DA7E5B">
            <w:pPr>
              <w:pStyle w:val="Tblzattartalom"/>
              <w:spacing w:after="200" w:line="276" w:lineRule="auto"/>
              <w:ind w:left="53" w:right="496"/>
              <w:jc w:val="right"/>
            </w:pPr>
            <w:r w:rsidRPr="00A6581D">
              <w:t>52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E4629" w:rsidRPr="00A6581D" w:rsidRDefault="005E4629" w:rsidP="00DA7E5B">
            <w:pPr>
              <w:pStyle w:val="Tblzattartalom"/>
              <w:spacing w:after="200" w:line="276" w:lineRule="auto"/>
              <w:ind w:left="53" w:right="496"/>
              <w:jc w:val="right"/>
            </w:pPr>
            <w:r w:rsidRPr="00A6581D">
              <w:t>5</w:t>
            </w:r>
          </w:p>
        </w:tc>
      </w:tr>
    </w:tbl>
    <w:p w:rsidR="005E4629" w:rsidRPr="00A6581D" w:rsidRDefault="005E4629" w:rsidP="005E4629">
      <w:pPr>
        <w:spacing w:line="100" w:lineRule="atLeast"/>
        <w:ind w:left="560" w:hanging="528"/>
        <w:jc w:val="both"/>
        <w:rPr>
          <w:sz w:val="24"/>
          <w:szCs w:val="24"/>
        </w:rPr>
      </w:pPr>
    </w:p>
    <w:p w:rsidR="005E4629" w:rsidRPr="00A6581D" w:rsidRDefault="005E4629" w:rsidP="005E4629">
      <w:pPr>
        <w:spacing w:line="100" w:lineRule="atLeast"/>
        <w:ind w:left="560" w:hanging="528"/>
        <w:jc w:val="both"/>
        <w:rPr>
          <w:color w:val="000000"/>
          <w:sz w:val="24"/>
          <w:szCs w:val="24"/>
        </w:rPr>
        <w:sectPr w:rsidR="005E4629" w:rsidRPr="00A6581D">
          <w:headerReference w:type="default" r:id="rId5"/>
          <w:pgSz w:w="11906" w:h="16838"/>
          <w:pgMar w:top="1417" w:right="1417" w:bottom="1417" w:left="1417" w:header="708" w:footer="720" w:gutter="0"/>
          <w:cols w:space="708"/>
          <w:docGrid w:linePitch="600" w:charSpace="32768"/>
        </w:sectPr>
      </w:pPr>
      <w:r w:rsidRPr="00A6581D">
        <w:rPr>
          <w:sz w:val="24"/>
          <w:szCs w:val="24"/>
        </w:rPr>
        <w:t>ahol:</w:t>
      </w:r>
    </w:p>
    <w:p w:rsidR="005E4629" w:rsidRDefault="005E4629" w:rsidP="005E4629">
      <w:pPr>
        <w:spacing w:line="100" w:lineRule="atLeast"/>
        <w:ind w:left="284" w:hanging="284"/>
        <w:jc w:val="both"/>
        <w:rPr>
          <w:color w:val="000000"/>
          <w:sz w:val="24"/>
          <w:szCs w:val="24"/>
        </w:rPr>
      </w:pPr>
      <w:r w:rsidRPr="00A6581D">
        <w:rPr>
          <w:color w:val="000000"/>
          <w:sz w:val="24"/>
          <w:szCs w:val="24"/>
        </w:rPr>
        <w:t>a) forgalomtechnika biztonsági terület: A filmforgatás által nem használt, de a filmforgatás érdekében a gyalogos és a járműközlekedés elől elzárt terület. A biztonsági terület nagyságának a forgatási terület nagyságával arányos mértékben kell állnia. Az arányosság mértéke a közútkezelője által elfogadott forgalomtechnikai terv alapján kerül meghatározásra.</w:t>
      </w:r>
    </w:p>
    <w:p w:rsidR="005E4629" w:rsidRDefault="005E4629" w:rsidP="005E4629">
      <w:pPr>
        <w:spacing w:line="100" w:lineRule="atLeast"/>
        <w:ind w:left="284" w:hanging="284"/>
        <w:jc w:val="both"/>
        <w:rPr>
          <w:color w:val="000000"/>
          <w:sz w:val="24"/>
          <w:szCs w:val="24"/>
        </w:rPr>
      </w:pPr>
    </w:p>
    <w:p w:rsidR="005E4629" w:rsidRDefault="005E4629" w:rsidP="005E4629">
      <w:pPr>
        <w:spacing w:line="100" w:lineRule="atLeast"/>
        <w:ind w:left="284" w:hanging="284"/>
        <w:jc w:val="both"/>
        <w:rPr>
          <w:color w:val="000000"/>
          <w:sz w:val="24"/>
          <w:szCs w:val="24"/>
        </w:rPr>
      </w:pPr>
      <w:r w:rsidRPr="00A6581D">
        <w:rPr>
          <w:color w:val="000000"/>
          <w:sz w:val="24"/>
          <w:szCs w:val="24"/>
        </w:rPr>
        <w:t xml:space="preserve"> b) forgatási terület: A filmforgatás során a felvételi képmezőben szereplő színészek, egyéb   közreműködők, díszletelemek, berendezési tárgyak, kellékek, járművek által elfoglalt</w:t>
      </w:r>
      <w:r>
        <w:rPr>
          <w:color w:val="000000"/>
          <w:sz w:val="24"/>
          <w:szCs w:val="24"/>
        </w:rPr>
        <w:t xml:space="preserve"> terület.</w:t>
      </w:r>
      <w:r w:rsidRPr="00A6581D">
        <w:rPr>
          <w:color w:val="000000"/>
          <w:sz w:val="24"/>
          <w:szCs w:val="24"/>
        </w:rPr>
        <w:t xml:space="preserve"> </w:t>
      </w:r>
    </w:p>
    <w:p w:rsidR="005E4629" w:rsidRDefault="005E4629" w:rsidP="005E4629">
      <w:pPr>
        <w:spacing w:line="100" w:lineRule="atLeast"/>
        <w:ind w:left="284" w:hanging="284"/>
        <w:jc w:val="both"/>
        <w:rPr>
          <w:color w:val="000000"/>
          <w:sz w:val="24"/>
          <w:szCs w:val="24"/>
        </w:rPr>
      </w:pPr>
    </w:p>
    <w:p w:rsidR="005E4629" w:rsidRPr="00A6581D" w:rsidRDefault="005E4629" w:rsidP="005E4629">
      <w:pPr>
        <w:spacing w:line="100" w:lineRule="atLeast"/>
        <w:ind w:left="284" w:hanging="284"/>
        <w:jc w:val="both"/>
        <w:rPr>
          <w:color w:val="000000"/>
          <w:sz w:val="24"/>
          <w:szCs w:val="24"/>
        </w:rPr>
      </w:pPr>
      <w:r w:rsidRPr="00A6581D">
        <w:rPr>
          <w:color w:val="000000"/>
          <w:sz w:val="24"/>
          <w:szCs w:val="24"/>
        </w:rPr>
        <w:t xml:space="preserve">c) kiürítési terület: A </w:t>
      </w:r>
      <w:hyperlink r:id="rId6" w:anchor="sid665344" w:history="1">
        <w:r w:rsidRPr="00A6581D">
          <w:rPr>
            <w:rStyle w:val="Hiperhivatkozs"/>
            <w:color w:val="000000"/>
            <w:sz w:val="24"/>
            <w:szCs w:val="24"/>
          </w:rPr>
          <w:t>b)</w:t>
        </w:r>
      </w:hyperlink>
      <w:r w:rsidRPr="00A6581D">
        <w:rPr>
          <w:color w:val="000000"/>
          <w:sz w:val="24"/>
          <w:szCs w:val="24"/>
        </w:rPr>
        <w:t xml:space="preserve">, </w:t>
      </w:r>
      <w:hyperlink r:id="rId7" w:anchor="sid666368" w:history="1">
        <w:r w:rsidRPr="00A6581D">
          <w:rPr>
            <w:rStyle w:val="Hiperhivatkozs"/>
            <w:color w:val="000000"/>
            <w:sz w:val="24"/>
            <w:szCs w:val="24"/>
          </w:rPr>
          <w:t>d)</w:t>
        </w:r>
      </w:hyperlink>
      <w:r w:rsidRPr="00A6581D">
        <w:rPr>
          <w:color w:val="000000"/>
          <w:sz w:val="24"/>
          <w:szCs w:val="24"/>
        </w:rPr>
        <w:t xml:space="preserve"> és </w:t>
      </w:r>
      <w:hyperlink r:id="rId8" w:anchor="sid666880" w:history="1">
        <w:r w:rsidRPr="00A6581D">
          <w:rPr>
            <w:rStyle w:val="Hiperhivatkozs"/>
            <w:color w:val="000000"/>
            <w:sz w:val="24"/>
            <w:szCs w:val="24"/>
          </w:rPr>
          <w:t>e) pont</w:t>
        </w:r>
      </w:hyperlink>
      <w:r w:rsidRPr="00A6581D">
        <w:rPr>
          <w:color w:val="000000"/>
          <w:sz w:val="24"/>
          <w:szCs w:val="24"/>
        </w:rPr>
        <w:t xml:space="preserve"> szerinti kategóriákba tartozó területeken, a filmforgatási napot megelőző napon, kifejezetten a filmforgatási, technikai, illetve a parkolási terület kiürítésének szándékával igénybe vett terület, amennyiben a területen a </w:t>
      </w:r>
      <w:hyperlink r:id="rId9" w:anchor="sid666368" w:history="1">
        <w:r w:rsidRPr="00A6581D">
          <w:rPr>
            <w:rStyle w:val="Hiperhivatkozs"/>
            <w:color w:val="000000"/>
            <w:sz w:val="24"/>
            <w:szCs w:val="24"/>
          </w:rPr>
          <w:t>d) pont</w:t>
        </w:r>
      </w:hyperlink>
      <w:r w:rsidRPr="00A6581D">
        <w:rPr>
          <w:color w:val="000000"/>
          <w:sz w:val="24"/>
          <w:szCs w:val="24"/>
        </w:rPr>
        <w:t xml:space="preserve"> szerinti tevékenységen kívül más nem történik.</w:t>
      </w:r>
    </w:p>
    <w:p w:rsidR="005E4629" w:rsidRPr="00A6581D" w:rsidRDefault="005E4629" w:rsidP="005E4629">
      <w:pPr>
        <w:spacing w:line="100" w:lineRule="atLeast"/>
        <w:ind w:left="284" w:hanging="284"/>
        <w:jc w:val="both"/>
        <w:rPr>
          <w:color w:val="000000"/>
          <w:sz w:val="24"/>
          <w:szCs w:val="24"/>
        </w:rPr>
      </w:pPr>
    </w:p>
    <w:p w:rsidR="005E4629" w:rsidRPr="00447235" w:rsidRDefault="005E4629" w:rsidP="005E4629">
      <w:pPr>
        <w:pStyle w:val="Listaszerbekezds"/>
        <w:numPr>
          <w:ilvl w:val="0"/>
          <w:numId w:val="2"/>
        </w:numPr>
        <w:tabs>
          <w:tab w:val="clear" w:pos="720"/>
          <w:tab w:val="num" w:pos="284"/>
        </w:tabs>
        <w:spacing w:line="100" w:lineRule="atLeast"/>
        <w:ind w:left="284" w:hanging="284"/>
        <w:jc w:val="both"/>
        <w:rPr>
          <w:color w:val="000000"/>
        </w:rPr>
      </w:pPr>
      <w:r w:rsidRPr="00447235">
        <w:rPr>
          <w:color w:val="000000"/>
        </w:rPr>
        <w:t xml:space="preserve">stábparkolási terület: A </w:t>
      </w:r>
      <w:hyperlink r:id="rId10" w:anchor="sid665344" w:history="1">
        <w:r w:rsidRPr="00447235">
          <w:rPr>
            <w:rStyle w:val="Hiperhivatkozs"/>
            <w:color w:val="000000"/>
          </w:rPr>
          <w:t>b)</w:t>
        </w:r>
      </w:hyperlink>
      <w:r w:rsidRPr="00447235">
        <w:rPr>
          <w:color w:val="000000"/>
        </w:rPr>
        <w:t xml:space="preserve"> és </w:t>
      </w:r>
      <w:hyperlink r:id="rId11" w:anchor="sid666880" w:history="1">
        <w:r w:rsidRPr="00447235">
          <w:rPr>
            <w:rStyle w:val="Hiperhivatkozs"/>
            <w:color w:val="000000"/>
          </w:rPr>
          <w:t>e) pont</w:t>
        </w:r>
      </w:hyperlink>
      <w:r w:rsidRPr="00447235">
        <w:rPr>
          <w:color w:val="000000"/>
        </w:rPr>
        <w:t xml:space="preserve"> szerinti kategóriákba nem tartozó, a forgatás és technikai kiszolgálás helyszínétől területileg elválasztható háttérkiszolgáló egységek és járművek által elfoglalt terület.</w:t>
      </w:r>
    </w:p>
    <w:p w:rsidR="005E4629" w:rsidRPr="00A6581D" w:rsidRDefault="005E4629" w:rsidP="005E4629">
      <w:pPr>
        <w:pStyle w:val="Listaszerbekezds"/>
        <w:spacing w:line="100" w:lineRule="atLeast"/>
        <w:ind w:left="0"/>
        <w:jc w:val="both"/>
        <w:rPr>
          <w:color w:val="000000"/>
        </w:rPr>
      </w:pPr>
    </w:p>
    <w:p w:rsidR="005E4629" w:rsidRPr="00A6581D" w:rsidRDefault="005E4629" w:rsidP="005E4629">
      <w:pPr>
        <w:spacing w:line="100" w:lineRule="atLeast"/>
        <w:ind w:left="284" w:hanging="284"/>
        <w:jc w:val="both"/>
        <w:rPr>
          <w:color w:val="000000"/>
          <w:sz w:val="24"/>
          <w:szCs w:val="24"/>
        </w:rPr>
      </w:pPr>
      <w:r w:rsidRPr="00A6581D">
        <w:rPr>
          <w:color w:val="000000"/>
          <w:sz w:val="24"/>
          <w:szCs w:val="24"/>
        </w:rPr>
        <w:t>e) technikai terület: A filmforgatási helyszín közvetlen környezetében felvonuló, a filmforgatás technikai megvalósulását elősegítő eszközök (különösen kamerák, világító és hangrögzítő berendezések), az azt kezelő stáb, műszaki személyzet, a filmforgatást közvetlenül kiszolgáló egyéb egységek és já</w:t>
      </w:r>
      <w:r>
        <w:rPr>
          <w:color w:val="000000"/>
          <w:sz w:val="24"/>
          <w:szCs w:val="24"/>
        </w:rPr>
        <w:t>rművek által elfoglalt terület.</w:t>
      </w:r>
    </w:p>
    <w:p w:rsidR="005E4629" w:rsidRDefault="005E4629" w:rsidP="005E4629">
      <w:pPr>
        <w:spacing w:line="100" w:lineRule="atLeast"/>
        <w:jc w:val="both"/>
        <w:rPr>
          <w:color w:val="000000"/>
          <w:sz w:val="24"/>
          <w:szCs w:val="24"/>
        </w:rPr>
      </w:pPr>
    </w:p>
    <w:p w:rsidR="005E4629" w:rsidRPr="00FC16B3" w:rsidRDefault="005E4629" w:rsidP="005E4629">
      <w:pPr>
        <w:jc w:val="both"/>
      </w:pPr>
      <w:r w:rsidRPr="00FC16B3">
        <w:rPr>
          <w:vertAlign w:val="superscript"/>
        </w:rPr>
        <w:t>1</w:t>
      </w:r>
      <w:r w:rsidRPr="00FC16B3">
        <w:t>módosította a</w:t>
      </w:r>
      <w:r>
        <w:t xml:space="preserve"> 12/2016.(XII.27</w:t>
      </w:r>
      <w:r w:rsidRPr="00FC16B3">
        <w:t xml:space="preserve">.) </w:t>
      </w:r>
      <w:proofErr w:type="spellStart"/>
      <w:r w:rsidRPr="00FC16B3">
        <w:t>mezőladányi</w:t>
      </w:r>
      <w:proofErr w:type="spellEnd"/>
      <w:r w:rsidRPr="00FC16B3">
        <w:t xml:space="preserve"> önkormányzati rendelet.</w:t>
      </w:r>
    </w:p>
    <w:p w:rsidR="005E4629" w:rsidRPr="00FC16B3" w:rsidRDefault="005E4629" w:rsidP="005E4629">
      <w:pPr>
        <w:jc w:val="both"/>
      </w:pPr>
    </w:p>
    <w:p w:rsidR="005E4629" w:rsidRPr="00F74DBB" w:rsidRDefault="005E4629" w:rsidP="005E4629">
      <w:pPr>
        <w:jc w:val="both"/>
      </w:pPr>
      <w:r>
        <w:t>Hatályos 2017. január 1-től.</w:t>
      </w:r>
    </w:p>
    <w:p w:rsidR="005E4629" w:rsidRPr="00A6581D" w:rsidRDefault="005E4629" w:rsidP="005E4629">
      <w:pPr>
        <w:spacing w:line="100" w:lineRule="atLeast"/>
        <w:ind w:left="284" w:hanging="252"/>
        <w:jc w:val="both"/>
        <w:rPr>
          <w:color w:val="000000"/>
          <w:sz w:val="24"/>
          <w:szCs w:val="24"/>
        </w:rPr>
        <w:sectPr w:rsidR="005E4629" w:rsidRPr="00A6581D">
          <w:type w:val="continuous"/>
          <w:pgSz w:w="11906" w:h="16838"/>
          <w:pgMar w:top="1417" w:right="1417" w:bottom="1417" w:left="1417" w:header="708" w:footer="720" w:gutter="0"/>
          <w:cols w:space="708"/>
          <w:docGrid w:linePitch="600" w:charSpace="32768"/>
        </w:sectPr>
      </w:pPr>
    </w:p>
    <w:p w:rsidR="00E03E4F" w:rsidRDefault="00E03E4F">
      <w:bookmarkStart w:id="0" w:name="_GoBack"/>
      <w:bookmarkEnd w:id="0"/>
    </w:p>
    <w:sectPr w:rsidR="00E03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FCC" w:rsidRDefault="005E4629" w:rsidP="00A6581D">
    <w:pPr>
      <w:pStyle w:val="lfej"/>
      <w:tabs>
        <w:tab w:val="clear" w:pos="4536"/>
        <w:tab w:val="clear" w:pos="9072"/>
        <w:tab w:val="left" w:pos="2460"/>
      </w:tabs>
    </w:pPr>
  </w:p>
  <w:p w:rsidR="00090FCC" w:rsidRDefault="005E4629">
    <w:pPr>
      <w:pStyle w:val="lfej"/>
    </w:pPr>
  </w:p>
  <w:p w:rsidR="00090FCC" w:rsidRDefault="005E4629">
    <w:pPr>
      <w:pStyle w:val="lfej"/>
    </w:pPr>
  </w:p>
  <w:p w:rsidR="00090FCC" w:rsidRDefault="005E462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C5B01"/>
    <w:multiLevelType w:val="hybridMultilevel"/>
    <w:tmpl w:val="CBA2A1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D1739"/>
    <w:multiLevelType w:val="hybridMultilevel"/>
    <w:tmpl w:val="5B5C4B40"/>
    <w:lvl w:ilvl="0" w:tplc="27A8CE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629"/>
    <w:rsid w:val="005E4629"/>
    <w:rsid w:val="00E0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A01A8"/>
  <w15:chartTrackingRefBased/>
  <w15:docId w15:val="{52D7D809-97CD-409B-A963-A3D6F558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E4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E4629"/>
    <w:pPr>
      <w:ind w:left="720"/>
      <w:contextualSpacing/>
    </w:pPr>
    <w:rPr>
      <w:sz w:val="24"/>
      <w:szCs w:val="24"/>
    </w:rPr>
  </w:style>
  <w:style w:type="character" w:styleId="Hiperhivatkozs">
    <w:name w:val="Hyperlink"/>
    <w:basedOn w:val="Bekezdsalapbettpusa"/>
    <w:uiPriority w:val="99"/>
    <w:rsid w:val="005E4629"/>
    <w:rPr>
      <w:color w:val="0000FF"/>
      <w:u w:val="single"/>
    </w:rPr>
  </w:style>
  <w:style w:type="paragraph" w:styleId="lfej">
    <w:name w:val="header"/>
    <w:basedOn w:val="Norml"/>
    <w:link w:val="lfejChar"/>
    <w:rsid w:val="005E4629"/>
    <w:pPr>
      <w:tabs>
        <w:tab w:val="center" w:pos="4536"/>
        <w:tab w:val="right" w:pos="9072"/>
      </w:tabs>
      <w:suppressAutoHyphens/>
    </w:pPr>
    <w:rPr>
      <w:sz w:val="24"/>
      <w:szCs w:val="24"/>
      <w:lang w:eastAsia="ar-SA"/>
    </w:rPr>
  </w:style>
  <w:style w:type="character" w:customStyle="1" w:styleId="lfejChar">
    <w:name w:val="Élőfej Char"/>
    <w:basedOn w:val="Bekezdsalapbettpusa"/>
    <w:link w:val="lfej"/>
    <w:rsid w:val="005E46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blzattartalom">
    <w:name w:val="Táblázattartalom"/>
    <w:basedOn w:val="Norml"/>
    <w:rsid w:val="005E4629"/>
    <w:pPr>
      <w:suppressLineNumbers/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ten.hu/optijus/lawtext/50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pten.hu/optijus/lawtext/50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pten.hu/optijus/lawtext/506" TargetMode="External"/><Relationship Id="rId11" Type="http://schemas.openxmlformats.org/officeDocument/2006/relationships/hyperlink" Target="https://www.opten.hu/optijus/lawtext/506" TargetMode="External"/><Relationship Id="rId5" Type="http://schemas.openxmlformats.org/officeDocument/2006/relationships/header" Target="header1.xml"/><Relationship Id="rId10" Type="http://schemas.openxmlformats.org/officeDocument/2006/relationships/hyperlink" Target="https://www.opten.hu/optijus/lawtext/5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pten.hu/optijus/lawtext/506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mezoladanyhivatal@gmail.com</dc:creator>
  <cp:keywords/>
  <dc:description/>
  <cp:lastModifiedBy>mezoladanyhivatal@gmail.com</cp:lastModifiedBy>
  <cp:revision>1</cp:revision>
  <dcterms:created xsi:type="dcterms:W3CDTF">2018-12-11T13:50:00Z</dcterms:created>
  <dcterms:modified xsi:type="dcterms:W3CDTF">2018-12-11T13:53:00Z</dcterms:modified>
</cp:coreProperties>
</file>