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DDE" w:rsidRDefault="00E91DDE" w:rsidP="00E91DDE">
      <w:pPr>
        <w:pStyle w:val="Cm"/>
        <w:rPr>
          <w:szCs w:val="24"/>
        </w:rPr>
      </w:pPr>
      <w:r>
        <w:rPr>
          <w:szCs w:val="24"/>
        </w:rPr>
        <w:t xml:space="preserve">INDOKOLÁS </w:t>
      </w:r>
    </w:p>
    <w:p w:rsidR="00E91DDE" w:rsidRDefault="00E91DDE" w:rsidP="00E91DDE">
      <w:pPr>
        <w:pStyle w:val="Cm"/>
        <w:rPr>
          <w:szCs w:val="24"/>
        </w:rPr>
      </w:pPr>
    </w:p>
    <w:p w:rsidR="00E91DDE" w:rsidRDefault="00E91DDE" w:rsidP="00E91DDE">
      <w:pPr>
        <w:pStyle w:val="Cm"/>
        <w:rPr>
          <w:szCs w:val="24"/>
        </w:rPr>
      </w:pPr>
      <w:r>
        <w:rPr>
          <w:szCs w:val="24"/>
        </w:rPr>
        <w:t>Szajk Község</w:t>
      </w:r>
      <w:r w:rsidRPr="00CA5BCD">
        <w:rPr>
          <w:szCs w:val="24"/>
        </w:rPr>
        <w:t xml:space="preserve"> </w:t>
      </w:r>
      <w:r>
        <w:rPr>
          <w:szCs w:val="24"/>
        </w:rPr>
        <w:t>Polgármesterének</w:t>
      </w:r>
    </w:p>
    <w:p w:rsidR="00E91DDE" w:rsidRPr="006D66C8" w:rsidRDefault="00E91DDE" w:rsidP="00E91DDE">
      <w:pPr>
        <w:pStyle w:val="Cm"/>
      </w:pPr>
      <w:r>
        <w:t>10</w:t>
      </w:r>
      <w:r w:rsidRPr="00240E25">
        <w:t>/20</w:t>
      </w:r>
      <w:r>
        <w:t>20</w:t>
      </w:r>
      <w:r w:rsidRPr="00240E25">
        <w:t>.(</w:t>
      </w:r>
      <w:r>
        <w:t>XII.17</w:t>
      </w:r>
      <w:r w:rsidRPr="00240E25">
        <w:t>.) önkormányzati</w:t>
      </w:r>
      <w:r w:rsidRPr="0056209C">
        <w:t xml:space="preserve"> rendelete</w:t>
      </w:r>
    </w:p>
    <w:p w:rsidR="00E91DDE" w:rsidRDefault="00E91DDE" w:rsidP="00E91DDE">
      <w:pPr>
        <w:overflowPunct w:val="0"/>
        <w:autoSpaceDE w:val="0"/>
        <w:autoSpaceDN w:val="0"/>
        <w:adjustRightInd w:val="0"/>
        <w:textAlignment w:val="baseline"/>
        <w:rPr>
          <w:b/>
        </w:rPr>
      </w:pPr>
    </w:p>
    <w:p w:rsidR="00E91DDE" w:rsidRPr="00AC27E5" w:rsidRDefault="00E91DDE" w:rsidP="00E91DDE">
      <w:pPr>
        <w:jc w:val="center"/>
        <w:rPr>
          <w:b/>
        </w:rPr>
      </w:pPr>
      <w:proofErr w:type="gramStart"/>
      <w:r>
        <w:rPr>
          <w:b/>
        </w:rPr>
        <w:t>a</w:t>
      </w:r>
      <w:proofErr w:type="gramEnd"/>
      <w:r>
        <w:rPr>
          <w:b/>
        </w:rPr>
        <w:t xml:space="preserve"> helyi iparűzési adóról szóló 10/2010.(XII.10</w:t>
      </w:r>
      <w:r w:rsidRPr="00780C4B">
        <w:rPr>
          <w:b/>
        </w:rPr>
        <w:t xml:space="preserve">.) </w:t>
      </w:r>
      <w:r>
        <w:rPr>
          <w:b/>
        </w:rPr>
        <w:t xml:space="preserve">önkormányzati rendelete módosításáról </w:t>
      </w:r>
    </w:p>
    <w:p w:rsidR="00E91DDE" w:rsidRPr="00092FAB" w:rsidRDefault="00E91DDE" w:rsidP="00E91DDE">
      <w:pPr>
        <w:overflowPunct w:val="0"/>
        <w:autoSpaceDE w:val="0"/>
        <w:autoSpaceDN w:val="0"/>
        <w:adjustRightInd w:val="0"/>
        <w:jc w:val="center"/>
        <w:textAlignment w:val="baseline"/>
        <w:rPr>
          <w:b/>
        </w:rPr>
      </w:pPr>
    </w:p>
    <w:p w:rsidR="00E91DDE" w:rsidRPr="00092FAB" w:rsidRDefault="00E91DDE" w:rsidP="00E91DDE">
      <w:pPr>
        <w:overflowPunct w:val="0"/>
        <w:autoSpaceDE w:val="0"/>
        <w:autoSpaceDN w:val="0"/>
        <w:adjustRightInd w:val="0"/>
        <w:textAlignment w:val="baseline"/>
        <w:rPr>
          <w:b/>
        </w:rPr>
      </w:pPr>
    </w:p>
    <w:p w:rsidR="00E91DDE" w:rsidRDefault="00E91DDE" w:rsidP="00E91DDE">
      <w:pPr>
        <w:jc w:val="both"/>
      </w:pPr>
      <w:r>
        <w:t>A jogalkotásról szóló 2010. évi CXXX. törvény 18. §-</w:t>
      </w:r>
      <w:proofErr w:type="spellStart"/>
      <w:r>
        <w:t>ában</w:t>
      </w:r>
      <w:proofErr w:type="spellEnd"/>
      <w:r>
        <w:t xml:space="preserve"> foglaltak szerint eljárva az </w:t>
      </w:r>
      <w:proofErr w:type="gramStart"/>
      <w:r>
        <w:t>ezen</w:t>
      </w:r>
      <w:proofErr w:type="gramEnd"/>
      <w:r>
        <w:t xml:space="preserve"> tervezetben szereplő önkormányzati rendeletet az alábbiak szerint indokolom.</w:t>
      </w:r>
    </w:p>
    <w:p w:rsidR="00E91DDE" w:rsidRDefault="00E91DDE" w:rsidP="00E91DDE">
      <w:pPr>
        <w:jc w:val="both"/>
      </w:pPr>
    </w:p>
    <w:p w:rsidR="00E91DDE" w:rsidRDefault="00E91DDE" w:rsidP="00E91DDE">
      <w:pPr>
        <w:jc w:val="both"/>
      </w:pPr>
    </w:p>
    <w:p w:rsidR="00E91DDE" w:rsidRPr="00AF042D" w:rsidRDefault="00E91DDE" w:rsidP="00E91DDE">
      <w:pPr>
        <w:jc w:val="center"/>
        <w:rPr>
          <w:b/>
        </w:rPr>
      </w:pPr>
      <w:r w:rsidRPr="00AF042D">
        <w:rPr>
          <w:b/>
        </w:rPr>
        <w:t>Általános indokolás</w:t>
      </w:r>
    </w:p>
    <w:p w:rsidR="00E91DDE" w:rsidRDefault="00E91DDE" w:rsidP="00E91DDE">
      <w:pPr>
        <w:jc w:val="both"/>
      </w:pPr>
    </w:p>
    <w:p w:rsidR="00E91DDE" w:rsidRDefault="00E91DDE" w:rsidP="00E91DDE">
      <w:pPr>
        <w:jc w:val="both"/>
      </w:pPr>
      <w:r>
        <w:t>Az egyes adótörvények módosításáról szóló 2020. évi CXVIII. törvény értelmében az ideiglenes iparűzési adóra vonatkozó rendelkezések hatályon kívül helyezése.</w:t>
      </w:r>
    </w:p>
    <w:p w:rsidR="00E91DDE" w:rsidRDefault="00E91DDE" w:rsidP="00E91DDE">
      <w:pPr>
        <w:overflowPunct w:val="0"/>
        <w:autoSpaceDE w:val="0"/>
        <w:autoSpaceDN w:val="0"/>
        <w:adjustRightInd w:val="0"/>
        <w:jc w:val="center"/>
        <w:textAlignment w:val="baseline"/>
      </w:pPr>
    </w:p>
    <w:p w:rsidR="00E91DDE" w:rsidRDefault="00E91DDE" w:rsidP="00E91DDE">
      <w:pPr>
        <w:overflowPunct w:val="0"/>
        <w:autoSpaceDE w:val="0"/>
        <w:autoSpaceDN w:val="0"/>
        <w:adjustRightInd w:val="0"/>
        <w:jc w:val="center"/>
        <w:textAlignment w:val="baseline"/>
      </w:pPr>
    </w:p>
    <w:p w:rsidR="00E91DDE" w:rsidRPr="001E14D1" w:rsidRDefault="00E91DDE" w:rsidP="00E91DDE">
      <w:pPr>
        <w:jc w:val="center"/>
        <w:rPr>
          <w:b/>
          <w:bCs/>
        </w:rPr>
      </w:pPr>
      <w:r w:rsidRPr="001E14D1">
        <w:rPr>
          <w:b/>
          <w:bCs/>
        </w:rPr>
        <w:t>Részletes indokolás</w:t>
      </w:r>
    </w:p>
    <w:p w:rsidR="00E91DDE" w:rsidRPr="002807C9" w:rsidRDefault="00E91DDE" w:rsidP="00E91DDE">
      <w:pPr>
        <w:overflowPunct w:val="0"/>
        <w:autoSpaceDE w:val="0"/>
        <w:autoSpaceDN w:val="0"/>
        <w:adjustRightInd w:val="0"/>
        <w:jc w:val="center"/>
        <w:textAlignment w:val="baseline"/>
        <w:rPr>
          <w:b/>
        </w:rPr>
      </w:pPr>
      <w:r w:rsidRPr="002807C9">
        <w:rPr>
          <w:b/>
        </w:rPr>
        <w:t>1.§-hoz</w:t>
      </w:r>
    </w:p>
    <w:p w:rsidR="00E91DDE" w:rsidRDefault="00E91DDE" w:rsidP="00E91DDE">
      <w:pPr>
        <w:pStyle w:val="Default"/>
      </w:pPr>
    </w:p>
    <w:p w:rsidR="00E91DDE" w:rsidRDefault="00E91DDE" w:rsidP="00E91DDE">
      <w:pPr>
        <w:jc w:val="both"/>
      </w:pPr>
      <w:r>
        <w:t xml:space="preserve">Az egyes adótörvények módosításáról szóló 2020. évi CXVIII. törvény indoklása szerint </w:t>
      </w:r>
      <w:proofErr w:type="gramStart"/>
      <w:r>
        <w:t>a</w:t>
      </w:r>
      <w:r w:rsidRPr="003A4102">
        <w:t>dminisztrációs</w:t>
      </w:r>
      <w:proofErr w:type="gramEnd"/>
      <w:r w:rsidRPr="003A4102">
        <w:t xml:space="preserve"> szempontból mind az önkormányzati adóhatóságnak, mind az adózóknak nehézséget okoz az építőipari tevékenységet terhelő ideiglenes helyi iparűzésiadókötelezettség teljesítése, amely az eseti jellegű bejelentkezés, bevallás-benyújtás, adófizetés szigorú kötelezettségét, illetve 180 nap települési munkavégzés után a településitelephely keletkezését és annak bejelentését vonja maga után. Erre figyelemmel a törvénymódosítás a</w:t>
      </w:r>
      <w:r>
        <w:t xml:space="preserve"> </w:t>
      </w:r>
      <w:r w:rsidRPr="003A4102">
        <w:t>30 napon túli építőipari tevékenység ideiglenes jellegű iparűzési adókötelezettségére vonatkozó hatályos szabályokat megszünteti. Ezzel egyidejűleg az adónemek számának csökkentése és az adórendszer egyszerűsítése, átláthatóbbá tétele érdekében az ideiglenes iparűzési adókötelezettség Magyarországon székhellyel, telephellyel nem rendelkezővállalkozásokat terhelő jogcíme is hatályát veszti. Így a törvénymódosítás értelmében az ideiglenes iparűzési tevékenység utáni adókötelezettség megszűnik</w:t>
      </w:r>
    </w:p>
    <w:p w:rsidR="00E91DDE" w:rsidRDefault="00E91DDE" w:rsidP="00E91DDE">
      <w:pPr>
        <w:overflowPunct w:val="0"/>
        <w:autoSpaceDE w:val="0"/>
        <w:autoSpaceDN w:val="0"/>
        <w:adjustRightInd w:val="0"/>
        <w:jc w:val="both"/>
        <w:textAlignment w:val="baseline"/>
      </w:pPr>
    </w:p>
    <w:p w:rsidR="00E91DDE" w:rsidRDefault="00E91DDE" w:rsidP="00E91DDE">
      <w:pPr>
        <w:overflowPunct w:val="0"/>
        <w:autoSpaceDE w:val="0"/>
        <w:autoSpaceDN w:val="0"/>
        <w:adjustRightInd w:val="0"/>
        <w:jc w:val="center"/>
        <w:textAlignment w:val="baseline"/>
      </w:pPr>
    </w:p>
    <w:p w:rsidR="00E91DDE" w:rsidRDefault="00E91DDE" w:rsidP="00E91DDE">
      <w:pPr>
        <w:overflowPunct w:val="0"/>
        <w:autoSpaceDE w:val="0"/>
        <w:autoSpaceDN w:val="0"/>
        <w:adjustRightInd w:val="0"/>
        <w:jc w:val="center"/>
        <w:textAlignment w:val="baseline"/>
      </w:pPr>
    </w:p>
    <w:p w:rsidR="00E91DDE" w:rsidRPr="006D66C8" w:rsidRDefault="00E91DDE" w:rsidP="00E91DDE">
      <w:pPr>
        <w:jc w:val="center"/>
        <w:rPr>
          <w:b/>
          <w:bCs/>
        </w:rPr>
      </w:pPr>
      <w:r>
        <w:rPr>
          <w:b/>
          <w:bCs/>
        </w:rPr>
        <w:t>A</w:t>
      </w:r>
      <w:r w:rsidRPr="006D66C8">
        <w:rPr>
          <w:b/>
          <w:bCs/>
        </w:rPr>
        <w:t xml:space="preserve"> </w:t>
      </w:r>
      <w:r>
        <w:rPr>
          <w:b/>
          <w:bCs/>
        </w:rPr>
        <w:t>2</w:t>
      </w:r>
      <w:r w:rsidRPr="006D66C8">
        <w:rPr>
          <w:b/>
          <w:bCs/>
        </w:rPr>
        <w:t>.§-hoz</w:t>
      </w:r>
    </w:p>
    <w:p w:rsidR="00E91DDE" w:rsidRDefault="00E91DDE" w:rsidP="00E91DDE">
      <w:pPr>
        <w:jc w:val="both"/>
      </w:pPr>
    </w:p>
    <w:p w:rsidR="00E91DDE" w:rsidRPr="003836BB" w:rsidRDefault="00E91DDE" w:rsidP="00E91DDE">
      <w:pPr>
        <w:jc w:val="both"/>
      </w:pPr>
      <w:r>
        <w:t xml:space="preserve">A módosító adórendelet hatályba lépéséről szól valamint a jogalkotásról szóló </w:t>
      </w:r>
      <w:r w:rsidRPr="003836BB">
        <w:t xml:space="preserve">2010. évi CXXX. törvény 12. §-ára figyelemmel a technikai dereguláció értelmében a </w:t>
      </w:r>
      <w:proofErr w:type="spellStart"/>
      <w:r w:rsidRPr="003836BB">
        <w:t>végrehajtottá</w:t>
      </w:r>
      <w:proofErr w:type="spellEnd"/>
      <w:r w:rsidRPr="003836BB">
        <w:t xml:space="preserve"> vált rendelkezés – így például a hatályba lépett módosító rendelkezés és hatályon kívül helyező rendelkezés, amely a joghatását már kifejtette –, a </w:t>
      </w:r>
      <w:proofErr w:type="spellStart"/>
      <w:r w:rsidRPr="003836BB">
        <w:t>végrehajtottá</w:t>
      </w:r>
      <w:proofErr w:type="spellEnd"/>
      <w:r w:rsidRPr="003836BB">
        <w:t xml:space="preserve"> válását követő napon hatályát veszti.</w:t>
      </w:r>
    </w:p>
    <w:p w:rsidR="00E91DDE" w:rsidRDefault="00E91DDE" w:rsidP="00E91DDE">
      <w:pPr>
        <w:jc w:val="both"/>
        <w:rPr>
          <w:bCs/>
          <w:bdr w:val="none" w:sz="0" w:space="0" w:color="auto" w:frame="1"/>
        </w:rPr>
      </w:pPr>
    </w:p>
    <w:p w:rsidR="00E91DDE" w:rsidRDefault="00E91DDE" w:rsidP="00E91DDE">
      <w:pPr>
        <w:jc w:val="both"/>
        <w:rPr>
          <w:bCs/>
          <w:bdr w:val="none" w:sz="0" w:space="0" w:color="auto" w:frame="1"/>
        </w:rPr>
      </w:pPr>
    </w:p>
    <w:p w:rsidR="00E91DDE" w:rsidRDefault="00E91DDE" w:rsidP="00E91DDE">
      <w:pPr>
        <w:jc w:val="both"/>
        <w:rPr>
          <w:bCs/>
          <w:bdr w:val="none" w:sz="0" w:space="0" w:color="auto" w:frame="1"/>
        </w:rPr>
      </w:pPr>
    </w:p>
    <w:p w:rsidR="00E91DDE" w:rsidRDefault="00E91DDE" w:rsidP="00E91DDE">
      <w:pPr>
        <w:jc w:val="both"/>
        <w:rPr>
          <w:bCs/>
          <w:bdr w:val="none" w:sz="0" w:space="0" w:color="auto" w:frame="1"/>
        </w:rPr>
      </w:pPr>
    </w:p>
    <w:p w:rsidR="00E91DDE" w:rsidRPr="00092FAB" w:rsidRDefault="00E91DDE" w:rsidP="00E91DDE">
      <w:pPr>
        <w:jc w:val="both"/>
        <w:rPr>
          <w:bCs/>
          <w:bdr w:val="none" w:sz="0" w:space="0" w:color="auto" w:frame="1"/>
        </w:rPr>
      </w:pPr>
      <w:r w:rsidRPr="00092FAB">
        <w:rPr>
          <w:bCs/>
          <w:bdr w:val="none" w:sz="0" w:space="0" w:color="auto" w:frame="1"/>
        </w:rPr>
        <w:t>A rendeletmódosítás kapcsán elvégzett előzetes hatásvizsgálatról, az alábbiak szerint tájékoztatom a Tisztelt Képviselő-testületet.</w:t>
      </w:r>
    </w:p>
    <w:p w:rsidR="00E91DDE" w:rsidRPr="00092FAB" w:rsidRDefault="00E91DDE" w:rsidP="00E91DDE">
      <w:pPr>
        <w:ind w:right="147"/>
        <w:jc w:val="both"/>
        <w:rPr>
          <w:bCs/>
        </w:rPr>
      </w:pPr>
    </w:p>
    <w:p w:rsidR="00E91DDE" w:rsidRPr="00092FAB" w:rsidRDefault="00E91DDE" w:rsidP="00E91DDE">
      <w:pPr>
        <w:jc w:val="both"/>
        <w:outlineLvl w:val="0"/>
        <w:rPr>
          <w:bCs/>
        </w:rPr>
      </w:pPr>
      <w:r>
        <w:rPr>
          <w:bCs/>
        </w:rPr>
        <w:lastRenderedPageBreak/>
        <w:t xml:space="preserve">A </w:t>
      </w:r>
      <w:r w:rsidRPr="00092FAB">
        <w:rPr>
          <w:bCs/>
        </w:rPr>
        <w:t xml:space="preserve">rendeletalkotás </w:t>
      </w:r>
    </w:p>
    <w:p w:rsidR="00E91DDE" w:rsidRPr="00092FAB" w:rsidRDefault="00E91DDE" w:rsidP="00E91DDE">
      <w:pPr>
        <w:jc w:val="both"/>
        <w:outlineLvl w:val="0"/>
      </w:pPr>
      <w:proofErr w:type="gramStart"/>
      <w:r w:rsidRPr="00092FAB">
        <w:rPr>
          <w:bCs/>
        </w:rPr>
        <w:t>a</w:t>
      </w:r>
      <w:proofErr w:type="gramEnd"/>
      <w:r w:rsidRPr="00092FAB">
        <w:rPr>
          <w:bCs/>
        </w:rPr>
        <w:t xml:space="preserve">.) </w:t>
      </w:r>
      <w:r w:rsidRPr="00092FAB">
        <w:rPr>
          <w:bCs/>
          <w:bdr w:val="none" w:sz="0" w:space="0" w:color="auto" w:frame="1"/>
        </w:rPr>
        <w:t xml:space="preserve">társadalmi-gazdasági hatása: </w:t>
      </w:r>
      <w:r>
        <w:t>nincs</w:t>
      </w:r>
    </w:p>
    <w:p w:rsidR="00E91DDE" w:rsidRDefault="00E91DDE" w:rsidP="00E91DDE">
      <w:pPr>
        <w:outlineLvl w:val="0"/>
      </w:pPr>
      <w:r w:rsidRPr="00092FAB">
        <w:rPr>
          <w:bCs/>
          <w:bdr w:val="none" w:sz="0" w:space="0" w:color="auto" w:frame="1"/>
        </w:rPr>
        <w:t xml:space="preserve">b.) költségvetési hatása: </w:t>
      </w:r>
      <w:r>
        <w:rPr>
          <w:bCs/>
          <w:bdr w:val="none" w:sz="0" w:space="0" w:color="auto" w:frame="1"/>
        </w:rPr>
        <w:t>kismértékben csökkenő iparűzési adóbevétel</w:t>
      </w:r>
    </w:p>
    <w:p w:rsidR="00E91DDE" w:rsidRPr="00092FAB" w:rsidRDefault="00E91DDE" w:rsidP="00E91DDE">
      <w:pPr>
        <w:outlineLvl w:val="0"/>
        <w:rPr>
          <w:bCs/>
          <w:bdr w:val="none" w:sz="0" w:space="0" w:color="auto" w:frame="1"/>
        </w:rPr>
      </w:pPr>
      <w:proofErr w:type="gramStart"/>
      <w:r>
        <w:t>c.</w:t>
      </w:r>
      <w:proofErr w:type="gramEnd"/>
      <w:r>
        <w:t xml:space="preserve">) </w:t>
      </w:r>
      <w:r w:rsidRPr="00092FAB">
        <w:rPr>
          <w:bCs/>
          <w:bdr w:val="none" w:sz="0" w:space="0" w:color="auto" w:frame="1"/>
        </w:rPr>
        <w:t xml:space="preserve">környezeti, egészségi következményei: nincs </w:t>
      </w:r>
    </w:p>
    <w:p w:rsidR="00E91DDE" w:rsidRPr="00092FAB" w:rsidRDefault="00E91DDE" w:rsidP="00E91DDE">
      <w:pPr>
        <w:outlineLvl w:val="0"/>
        <w:rPr>
          <w:bCs/>
          <w:bdr w:val="none" w:sz="0" w:space="0" w:color="auto" w:frame="1"/>
        </w:rPr>
      </w:pPr>
      <w:r>
        <w:rPr>
          <w:bCs/>
          <w:bdr w:val="none" w:sz="0" w:space="0" w:color="auto" w:frame="1"/>
        </w:rPr>
        <w:t>d</w:t>
      </w:r>
      <w:r w:rsidRPr="00092FAB">
        <w:rPr>
          <w:bCs/>
          <w:bdr w:val="none" w:sz="0" w:space="0" w:color="auto" w:frame="1"/>
        </w:rPr>
        <w:t>.) adminisztratív terheket befolyásoló hatása: nem jelentős</w:t>
      </w:r>
    </w:p>
    <w:p w:rsidR="00E91DDE" w:rsidRPr="00092FAB" w:rsidRDefault="00E91DDE" w:rsidP="00E91DDE">
      <w:pPr>
        <w:jc w:val="both"/>
        <w:rPr>
          <w:bCs/>
          <w:bdr w:val="none" w:sz="0" w:space="0" w:color="auto" w:frame="1"/>
        </w:rPr>
      </w:pPr>
      <w:proofErr w:type="gramStart"/>
      <w:r>
        <w:rPr>
          <w:bCs/>
          <w:bdr w:val="none" w:sz="0" w:space="0" w:color="auto" w:frame="1"/>
        </w:rPr>
        <w:t>e</w:t>
      </w:r>
      <w:proofErr w:type="gramEnd"/>
      <w:r w:rsidRPr="00092FAB">
        <w:rPr>
          <w:bCs/>
          <w:bdr w:val="none" w:sz="0" w:space="0" w:color="auto" w:frame="1"/>
        </w:rPr>
        <w:t>.) egyéb hatása: nincs.</w:t>
      </w:r>
    </w:p>
    <w:p w:rsidR="00E91DDE" w:rsidRPr="00092FAB" w:rsidRDefault="00E91DDE" w:rsidP="00E91DDE">
      <w:pPr>
        <w:ind w:left="2880" w:hanging="2880"/>
        <w:jc w:val="both"/>
        <w:rPr>
          <w:bCs/>
          <w:bdr w:val="none" w:sz="0" w:space="0" w:color="auto" w:frame="1"/>
        </w:rPr>
      </w:pPr>
    </w:p>
    <w:p w:rsidR="00E91DDE" w:rsidRPr="00092FAB" w:rsidRDefault="00E91DDE" w:rsidP="00E91DDE">
      <w:pPr>
        <w:jc w:val="both"/>
      </w:pPr>
      <w:r w:rsidRPr="00092FAB">
        <w:rPr>
          <w:bCs/>
          <w:bdr w:val="none" w:sz="0" w:space="0" w:color="auto" w:frame="1"/>
        </w:rPr>
        <w:t>A rendelet módosításának szükségessége:</w:t>
      </w:r>
      <w:r w:rsidRPr="00092FAB">
        <w:t xml:space="preserve"> </w:t>
      </w:r>
      <w:r>
        <w:t xml:space="preserve">a törvénymódosítás kötelező jelleggel történő átvezetése az önkormányzati rendeletben a </w:t>
      </w:r>
      <w:proofErr w:type="spellStart"/>
      <w:r>
        <w:t>kollízió</w:t>
      </w:r>
      <w:proofErr w:type="spellEnd"/>
      <w:r>
        <w:t xml:space="preserve"> elkerülése érdekében.</w:t>
      </w:r>
      <w:r w:rsidRPr="00092FAB">
        <w:t xml:space="preserve"> </w:t>
      </w:r>
    </w:p>
    <w:p w:rsidR="00E91DDE" w:rsidRPr="00092FAB" w:rsidRDefault="00E91DDE" w:rsidP="00E91DDE">
      <w:pPr>
        <w:jc w:val="both"/>
      </w:pPr>
    </w:p>
    <w:p w:rsidR="00E91DDE" w:rsidRPr="00092FAB" w:rsidRDefault="00E91DDE" w:rsidP="00E91DDE">
      <w:pPr>
        <w:jc w:val="both"/>
        <w:rPr>
          <w:bCs/>
          <w:bdr w:val="none" w:sz="0" w:space="0" w:color="auto" w:frame="1"/>
        </w:rPr>
      </w:pPr>
    </w:p>
    <w:p w:rsidR="00E91DDE" w:rsidRPr="00092FAB" w:rsidRDefault="00E91DDE" w:rsidP="00E91DDE">
      <w:pPr>
        <w:jc w:val="both"/>
        <w:rPr>
          <w:bCs/>
          <w:bdr w:val="none" w:sz="0" w:space="0" w:color="auto" w:frame="1"/>
        </w:rPr>
      </w:pPr>
      <w:r w:rsidRPr="00092FAB">
        <w:rPr>
          <w:bCs/>
          <w:bdr w:val="none" w:sz="0" w:space="0" w:color="auto" w:frame="1"/>
        </w:rPr>
        <w:t xml:space="preserve">A rendelet alkalmazásához szükséges feltételek: </w:t>
      </w:r>
      <w:r w:rsidRPr="00092FAB">
        <w:rPr>
          <w:bCs/>
          <w:bdr w:val="none" w:sz="0" w:space="0" w:color="auto" w:frame="1"/>
        </w:rPr>
        <w:tab/>
      </w:r>
      <w:r w:rsidRPr="00092FAB">
        <w:rPr>
          <w:bCs/>
          <w:bdr w:val="none" w:sz="0" w:space="0" w:color="auto" w:frame="1"/>
        </w:rPr>
        <w:tab/>
        <w:t>- személyi: rendelkezésre áll,</w:t>
      </w:r>
    </w:p>
    <w:p w:rsidR="00E91DDE" w:rsidRPr="00092FAB" w:rsidRDefault="00E91DDE" w:rsidP="00E91DDE">
      <w:pPr>
        <w:ind w:left="4956" w:firstLine="708"/>
        <w:jc w:val="both"/>
        <w:rPr>
          <w:bCs/>
          <w:bdr w:val="none" w:sz="0" w:space="0" w:color="auto" w:frame="1"/>
        </w:rPr>
      </w:pPr>
      <w:r w:rsidRPr="00092FAB">
        <w:rPr>
          <w:bCs/>
          <w:bdr w:val="none" w:sz="0" w:space="0" w:color="auto" w:frame="1"/>
        </w:rPr>
        <w:t>- szervezeti: rendelkezésre áll,</w:t>
      </w:r>
    </w:p>
    <w:p w:rsidR="00E91DDE" w:rsidRPr="00092FAB" w:rsidRDefault="00E91DDE" w:rsidP="00E91DDE">
      <w:pPr>
        <w:ind w:left="4956" w:firstLine="708"/>
        <w:jc w:val="both"/>
        <w:rPr>
          <w:bCs/>
          <w:bdr w:val="none" w:sz="0" w:space="0" w:color="auto" w:frame="1"/>
        </w:rPr>
      </w:pPr>
      <w:r w:rsidRPr="00092FAB">
        <w:rPr>
          <w:bCs/>
          <w:bdr w:val="none" w:sz="0" w:space="0" w:color="auto" w:frame="1"/>
        </w:rPr>
        <w:t>- tárgyi: rendelkezésre áll,</w:t>
      </w:r>
    </w:p>
    <w:p w:rsidR="00E91DDE" w:rsidRPr="00092FAB" w:rsidRDefault="00E91DDE" w:rsidP="00E91DDE">
      <w:pPr>
        <w:ind w:left="4956" w:firstLine="708"/>
        <w:jc w:val="both"/>
        <w:rPr>
          <w:bCs/>
          <w:bdr w:val="none" w:sz="0" w:space="0" w:color="auto" w:frame="1"/>
        </w:rPr>
      </w:pPr>
      <w:r w:rsidRPr="00092FAB">
        <w:rPr>
          <w:bCs/>
          <w:bdr w:val="none" w:sz="0" w:space="0" w:color="auto" w:frame="1"/>
        </w:rPr>
        <w:t xml:space="preserve">- pénzügyi: rendelkezésre áll. </w:t>
      </w:r>
    </w:p>
    <w:p w:rsidR="00E91DDE" w:rsidRDefault="00E91DDE" w:rsidP="00E91DDE">
      <w:pPr>
        <w:jc w:val="center"/>
      </w:pPr>
    </w:p>
    <w:p w:rsidR="00B56A34" w:rsidRDefault="00B56A34">
      <w:bookmarkStart w:id="0" w:name="_GoBack"/>
      <w:bookmarkEnd w:id="0"/>
    </w:p>
    <w:sectPr w:rsidR="00B56A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DDE"/>
    <w:rsid w:val="00B56A34"/>
    <w:rsid w:val="00E91D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59A6D-8A62-421C-9183-DD87CE59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4"/>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91DDE"/>
    <w:pPr>
      <w:spacing w:after="0" w:line="240" w:lineRule="auto"/>
    </w:pPr>
    <w:rPr>
      <w:rFonts w:eastAsia="Times New Roman" w:cs="Times New Roman"/>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E91DDE"/>
    <w:pPr>
      <w:jc w:val="center"/>
    </w:pPr>
    <w:rPr>
      <w:b/>
      <w:szCs w:val="20"/>
    </w:rPr>
  </w:style>
  <w:style w:type="character" w:customStyle="1" w:styleId="CmChar">
    <w:name w:val="Cím Char"/>
    <w:basedOn w:val="Bekezdsalapbettpusa"/>
    <w:link w:val="Cm"/>
    <w:rsid w:val="00E91DDE"/>
    <w:rPr>
      <w:rFonts w:eastAsia="Times New Roman" w:cs="Times New Roman"/>
      <w:b/>
      <w:szCs w:val="20"/>
      <w:lang w:eastAsia="hu-HU"/>
    </w:rPr>
  </w:style>
  <w:style w:type="paragraph" w:customStyle="1" w:styleId="Default">
    <w:name w:val="Default"/>
    <w:rsid w:val="00E91DDE"/>
    <w:pPr>
      <w:autoSpaceDE w:val="0"/>
      <w:autoSpaceDN w:val="0"/>
      <w:adjustRightInd w:val="0"/>
      <w:spacing w:after="0" w:line="240" w:lineRule="auto"/>
    </w:pPr>
    <w:rPr>
      <w:rFonts w:ascii="Book Antiqua" w:eastAsia="Calibri" w:hAnsi="Book Antiqua" w:cs="Book Antiqua"/>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2365</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Szabóné Nagy Alexandra Petra</dc:creator>
  <cp:keywords/>
  <dc:description/>
  <cp:lastModifiedBy>Szabóné Nagy Alexandra Petra</cp:lastModifiedBy>
  <cp:revision>1</cp:revision>
  <dcterms:created xsi:type="dcterms:W3CDTF">2020-12-17T12:08:00Z</dcterms:created>
  <dcterms:modified xsi:type="dcterms:W3CDTF">2020-12-17T12:09:00Z</dcterms:modified>
</cp:coreProperties>
</file>