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528B" w:rsidRDefault="00E4528B" w:rsidP="00E4528B">
      <w:pPr>
        <w:spacing w:before="120"/>
        <w:jc w:val="center"/>
        <w:rPr>
          <w:b/>
          <w:sz w:val="24"/>
        </w:rPr>
      </w:pPr>
    </w:p>
    <w:p w:rsidR="00E4528B" w:rsidRDefault="00E4528B" w:rsidP="00E4528B">
      <w:pPr>
        <w:spacing w:before="120"/>
        <w:jc w:val="center"/>
        <w:rPr>
          <w:b/>
          <w:sz w:val="24"/>
        </w:rPr>
      </w:pPr>
      <w:r>
        <w:rPr>
          <w:b/>
          <w:sz w:val="24"/>
        </w:rPr>
        <w:t>ÁLTALÁNOS INDOKLÁS</w:t>
      </w:r>
    </w:p>
    <w:p w:rsidR="00E4528B" w:rsidRDefault="00E4528B" w:rsidP="00E4528B">
      <w:pPr>
        <w:spacing w:before="120"/>
        <w:rPr>
          <w:b/>
          <w:sz w:val="24"/>
        </w:rPr>
      </w:pPr>
    </w:p>
    <w:p w:rsidR="00E4528B" w:rsidRDefault="00E4528B" w:rsidP="00E4528B">
      <w:pPr>
        <w:pStyle w:val="Szvegtrzsbehzssal"/>
        <w:ind w:left="0"/>
        <w:jc w:val="both"/>
        <w:rPr>
          <w:sz w:val="24"/>
          <w:szCs w:val="24"/>
        </w:rPr>
      </w:pPr>
      <w:r>
        <w:rPr>
          <w:sz w:val="24"/>
          <w:szCs w:val="24"/>
        </w:rPr>
        <w:t xml:space="preserve">Az államháztartásról szóló 2011. évi CXCV. törvény 91. § (1) bekezdésében foglaltak alapján a jegyző által elkészített zárszámadási rendelet-tervezetet a polgármester a költségvetési évet követő ötödik hónap utolsó napjáig terjeszti a képviselő-testület elé. A zárszámadásról a képviselő-testület rendeletet alkot. A zárszámadási rendelet tartalmi követelményeit, a Képviselő-testület elé terjesztendő tájékoztató táblák meghatározását szintén az államháztartási törvény szabályozza. </w:t>
      </w:r>
    </w:p>
    <w:p w:rsidR="00E4528B" w:rsidRDefault="00E4528B" w:rsidP="00E4528B">
      <w:pPr>
        <w:spacing w:before="120"/>
        <w:rPr>
          <w:b/>
          <w:sz w:val="24"/>
        </w:rPr>
      </w:pPr>
    </w:p>
    <w:p w:rsidR="00E4528B" w:rsidRDefault="00E4528B" w:rsidP="00E4528B">
      <w:pPr>
        <w:spacing w:before="120"/>
        <w:jc w:val="center"/>
        <w:rPr>
          <w:b/>
          <w:sz w:val="24"/>
        </w:rPr>
      </w:pPr>
      <w:r>
        <w:rPr>
          <w:b/>
          <w:sz w:val="24"/>
        </w:rPr>
        <w:t>RÉSZLETES INDOKLÁS</w:t>
      </w:r>
    </w:p>
    <w:p w:rsidR="00E4528B" w:rsidRDefault="00E4528B" w:rsidP="00E4528B">
      <w:pPr>
        <w:spacing w:before="120"/>
        <w:jc w:val="center"/>
        <w:rPr>
          <w:sz w:val="24"/>
        </w:rPr>
      </w:pPr>
      <w:r>
        <w:rPr>
          <w:sz w:val="24"/>
        </w:rPr>
        <w:t>1. §</w:t>
      </w:r>
    </w:p>
    <w:p w:rsidR="00E4528B" w:rsidRDefault="00E4528B" w:rsidP="00E4528B">
      <w:pPr>
        <w:spacing w:before="120"/>
        <w:jc w:val="both"/>
        <w:rPr>
          <w:sz w:val="24"/>
        </w:rPr>
      </w:pPr>
      <w:r>
        <w:rPr>
          <w:sz w:val="24"/>
        </w:rPr>
        <w:t xml:space="preserve">Az önkormányzati szintű költségvetési bevételeket és költségvetési kiadásokat működési, felhalmozási és kiemelt előirányzati bontásban, azaz a 2019. évi zárszámadásának pénzügyi mérlegét részletesen a 1.1 mellékletben került kimutatásra. </w:t>
      </w:r>
    </w:p>
    <w:p w:rsidR="00E4528B" w:rsidRDefault="00E4528B" w:rsidP="00E4528B">
      <w:pPr>
        <w:spacing w:before="120"/>
        <w:jc w:val="both"/>
        <w:rPr>
          <w:sz w:val="24"/>
        </w:rPr>
      </w:pPr>
      <w:r>
        <w:rPr>
          <w:sz w:val="24"/>
        </w:rPr>
        <w:t>Az önkormányzat 2019. évi működési bevétele 416 509 409 Ft, felhalmozási célú bevétele 274 716 682 Ft volt. Az önkormányzat 2019. évi működési kiadása 331 690 868 Ft, felhalmozási célú 112 122 858 Ft volt. A működési és felhalmozási célú bevételek és kiadások mérlegét a 2.1 és 2.2 melléklet tartalmazza.</w:t>
      </w:r>
    </w:p>
    <w:p w:rsidR="00E4528B" w:rsidRDefault="00E4528B" w:rsidP="00E4528B">
      <w:pPr>
        <w:spacing w:before="120"/>
        <w:jc w:val="both"/>
        <w:rPr>
          <w:sz w:val="24"/>
        </w:rPr>
      </w:pPr>
    </w:p>
    <w:p w:rsidR="00E4528B" w:rsidRDefault="00E4528B" w:rsidP="00E4528B">
      <w:pPr>
        <w:spacing w:before="120"/>
        <w:jc w:val="center"/>
        <w:rPr>
          <w:sz w:val="24"/>
        </w:rPr>
      </w:pPr>
      <w:r>
        <w:rPr>
          <w:sz w:val="24"/>
        </w:rPr>
        <w:t>2. §</w:t>
      </w:r>
    </w:p>
    <w:p w:rsidR="00E4528B" w:rsidRDefault="00E4528B" w:rsidP="00E4528B">
      <w:pPr>
        <w:spacing w:before="120"/>
        <w:jc w:val="both"/>
        <w:rPr>
          <w:sz w:val="24"/>
        </w:rPr>
      </w:pPr>
      <w:r>
        <w:rPr>
          <w:sz w:val="24"/>
        </w:rPr>
        <w:t>Az önkormányzati szintű beruházások, felújítások kiadásait beruházásonként és felújításonként a 3. sz. és a 4. sz. melléklet mutatja be.</w:t>
      </w:r>
    </w:p>
    <w:p w:rsidR="00E4528B" w:rsidRDefault="00E4528B" w:rsidP="00E4528B">
      <w:pPr>
        <w:spacing w:before="120"/>
        <w:jc w:val="both"/>
        <w:rPr>
          <w:sz w:val="24"/>
        </w:rPr>
      </w:pPr>
      <w:r>
        <w:rPr>
          <w:sz w:val="24"/>
        </w:rPr>
        <w:t>Balatongyörök Község Önkormányzatának (intézmény nélkül) bevételi és kiadási előirányzatainak teljesítését működési, felhalmozási és kiemelt előirányzatokat tartalmazó bontásban a 6.1. mellékletek tartalmazzák.</w:t>
      </w:r>
    </w:p>
    <w:p w:rsidR="00E4528B" w:rsidRDefault="00E4528B" w:rsidP="00E4528B">
      <w:pPr>
        <w:spacing w:before="120"/>
        <w:jc w:val="both"/>
        <w:rPr>
          <w:sz w:val="24"/>
        </w:rPr>
      </w:pPr>
      <w:r>
        <w:rPr>
          <w:sz w:val="24"/>
        </w:rPr>
        <w:t>Az önkormányzat által irányított költségvetési szerve, a Bertha Bulcsu Művelődési Ház és Könyvtár bevételi és kiadási előirányzatainak teljesítését működési, felhalmozási és kiemelt előirányzatokat tartalmazó bontásban a 6.2. mellékletek tartalmazzák.</w:t>
      </w:r>
    </w:p>
    <w:p w:rsidR="00E4528B" w:rsidRDefault="00E4528B" w:rsidP="00E4528B">
      <w:pPr>
        <w:spacing w:before="120"/>
        <w:jc w:val="both"/>
        <w:rPr>
          <w:sz w:val="24"/>
        </w:rPr>
      </w:pPr>
      <w:r>
        <w:rPr>
          <w:sz w:val="24"/>
        </w:rPr>
        <w:t>A költségvetési szervek részletes költségvetési maradványa a 7. sz. mellékletben került kimutatásra.</w:t>
      </w:r>
    </w:p>
    <w:p w:rsidR="00E4528B" w:rsidRDefault="00E4528B" w:rsidP="00E4528B">
      <w:pPr>
        <w:spacing w:before="120"/>
        <w:jc w:val="both"/>
        <w:rPr>
          <w:sz w:val="24"/>
        </w:rPr>
      </w:pPr>
    </w:p>
    <w:p w:rsidR="00E4528B" w:rsidRDefault="00E4528B" w:rsidP="00E4528B">
      <w:pPr>
        <w:spacing w:before="120"/>
        <w:jc w:val="center"/>
        <w:rPr>
          <w:sz w:val="24"/>
        </w:rPr>
      </w:pPr>
      <w:r>
        <w:rPr>
          <w:sz w:val="24"/>
        </w:rPr>
        <w:t>3.  §</w:t>
      </w:r>
    </w:p>
    <w:p w:rsidR="00E4528B" w:rsidRDefault="00E4528B" w:rsidP="00E4528B">
      <w:pPr>
        <w:spacing w:before="120"/>
        <w:jc w:val="both"/>
        <w:rPr>
          <w:sz w:val="24"/>
        </w:rPr>
      </w:pPr>
      <w:r>
        <w:rPr>
          <w:sz w:val="24"/>
        </w:rPr>
        <w:t>E szakaszok a rendelet végrehajtásáról rendelkeznek.</w:t>
      </w:r>
    </w:p>
    <w:p w:rsidR="00E4528B" w:rsidRDefault="00E4528B" w:rsidP="00E4528B">
      <w:pPr>
        <w:spacing w:before="120"/>
        <w:jc w:val="both"/>
        <w:rPr>
          <w:sz w:val="24"/>
        </w:rPr>
      </w:pPr>
    </w:p>
    <w:p w:rsidR="00E4528B" w:rsidRDefault="00E4528B" w:rsidP="00E4528B">
      <w:pPr>
        <w:spacing w:before="120"/>
        <w:jc w:val="center"/>
        <w:rPr>
          <w:sz w:val="24"/>
        </w:rPr>
      </w:pPr>
      <w:r>
        <w:rPr>
          <w:sz w:val="24"/>
        </w:rPr>
        <w:t>4. §</w:t>
      </w:r>
    </w:p>
    <w:p w:rsidR="00E4528B" w:rsidRDefault="00E4528B" w:rsidP="00E4528B">
      <w:pPr>
        <w:spacing w:before="120"/>
        <w:rPr>
          <w:sz w:val="24"/>
        </w:rPr>
      </w:pPr>
      <w:r>
        <w:rPr>
          <w:sz w:val="24"/>
        </w:rPr>
        <w:t>A szakasz a rendelet hatályba lépéséről rendelkezik.</w:t>
      </w:r>
    </w:p>
    <w:p w:rsidR="00637FA3" w:rsidRDefault="00637FA3"/>
    <w:sectPr w:rsidR="00637F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8B"/>
    <w:rsid w:val="00637FA3"/>
    <w:rsid w:val="00E452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D603A-64C1-4380-A522-84167F24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4528B"/>
    <w:pPr>
      <w:overflowPunct w:val="0"/>
      <w:autoSpaceDE w:val="0"/>
      <w:autoSpaceDN w:val="0"/>
      <w:adjustRightInd w:val="0"/>
      <w:spacing w:after="0" w:line="240" w:lineRule="auto"/>
    </w:pPr>
    <w:rPr>
      <w:rFonts w:ascii="Times New Roman" w:eastAsia="Times New Roman" w:hAnsi="Times New Roman" w:cs="Times New Roman"/>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semiHidden/>
    <w:unhideWhenUsed/>
    <w:rsid w:val="00E4528B"/>
    <w:pPr>
      <w:spacing w:after="120"/>
      <w:ind w:left="283"/>
    </w:pPr>
  </w:style>
  <w:style w:type="character" w:customStyle="1" w:styleId="SzvegtrzsbehzssalChar">
    <w:name w:val="Szövegtörzs behúzással Char"/>
    <w:basedOn w:val="Bekezdsalapbettpusa"/>
    <w:link w:val="Szvegtrzsbehzssal"/>
    <w:semiHidden/>
    <w:rsid w:val="00E4528B"/>
    <w:rPr>
      <w:rFonts w:ascii="Times New Roman" w:eastAsia="Times New Roman" w:hAnsi="Times New Roman" w:cs="Times New Roman"/>
      <w:sz w:val="28"/>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17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1662</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Jegyzo</dc:creator>
  <cp:keywords/>
  <dc:description/>
  <cp:lastModifiedBy>Jegyzo</cp:lastModifiedBy>
  <cp:revision>1</cp:revision>
  <dcterms:created xsi:type="dcterms:W3CDTF">2020-07-14T12:42:00Z</dcterms:created>
  <dcterms:modified xsi:type="dcterms:W3CDTF">2020-07-14T12:43:00Z</dcterms:modified>
</cp:coreProperties>
</file>