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BD8" w:rsidRDefault="001B5BD8" w:rsidP="001B5BD8">
      <w:pPr>
        <w:jc w:val="both"/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függelék  a</w:t>
      </w:r>
      <w:proofErr w:type="gramEnd"/>
      <w:r>
        <w:rPr>
          <w:b/>
        </w:rPr>
        <w:t xml:space="preserve"> 2/2018. (VI. 25.) önkormányzati rendelethez</w:t>
      </w:r>
    </w:p>
    <w:p w:rsidR="001B5BD8" w:rsidRDefault="001B5BD8" w:rsidP="001B5BD8">
      <w:pPr>
        <w:jc w:val="both"/>
        <w:rPr>
          <w:b/>
          <w:i/>
        </w:rPr>
      </w:pP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color w:val="000000"/>
          <w:szCs w:val="24"/>
        </w:rPr>
      </w:pPr>
      <w:r>
        <w:rPr>
          <w:rFonts w:ascii="Times" w:eastAsia="Times New Roman" w:hAnsi="Times" w:cs="Times"/>
          <w:b/>
          <w:bCs/>
          <w:color w:val="000000"/>
          <w:szCs w:val="24"/>
        </w:rPr>
        <w:t xml:space="preserve">                                                                                               </w:t>
      </w:r>
    </w:p>
    <w:p w:rsidR="001B5BD8" w:rsidRDefault="001B5BD8" w:rsidP="001B5BD8">
      <w:pPr>
        <w:widowControl/>
        <w:suppressAutoHyphens w:val="0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iCs/>
          <w:szCs w:val="24"/>
        </w:rPr>
        <w:t xml:space="preserve">A képviselők névsora: </w:t>
      </w:r>
    </w:p>
    <w:p w:rsidR="001B5BD8" w:rsidRDefault="001B5BD8" w:rsidP="001B5BD8">
      <w:pPr>
        <w:widowControl/>
        <w:suppressAutoHyphens w:val="0"/>
        <w:rPr>
          <w:rFonts w:eastAsia="Times New Roman"/>
          <w:i/>
          <w:iCs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b/>
          <w:iCs/>
          <w:szCs w:val="24"/>
        </w:rPr>
      </w:pPr>
      <w:r>
        <w:rPr>
          <w:rFonts w:eastAsia="Times New Roman"/>
          <w:b/>
          <w:iCs/>
          <w:szCs w:val="24"/>
        </w:rPr>
        <w:t xml:space="preserve">                                         polgármester</w:t>
      </w:r>
    </w:p>
    <w:p w:rsidR="001B5BD8" w:rsidRDefault="001B5BD8" w:rsidP="001B5BD8">
      <w:pPr>
        <w:widowControl/>
        <w:suppressAutoHyphens w:val="0"/>
        <w:rPr>
          <w:rFonts w:eastAsia="Times New Roman"/>
          <w:b/>
          <w:iCs/>
          <w:szCs w:val="24"/>
        </w:rPr>
      </w:pPr>
      <w:r>
        <w:rPr>
          <w:rFonts w:eastAsia="Times New Roman"/>
          <w:b/>
          <w:iCs/>
          <w:szCs w:val="24"/>
        </w:rPr>
        <w:t>Pápista István                  képviselő</w:t>
      </w:r>
    </w:p>
    <w:p w:rsidR="001B5BD8" w:rsidRDefault="001B5BD8" w:rsidP="001B5BD8">
      <w:pPr>
        <w:widowControl/>
        <w:suppressAutoHyphens w:val="0"/>
        <w:rPr>
          <w:rFonts w:eastAsia="Times New Roman"/>
          <w:b/>
          <w:iCs/>
          <w:szCs w:val="24"/>
        </w:rPr>
      </w:pPr>
      <w:proofErr w:type="spellStart"/>
      <w:r>
        <w:rPr>
          <w:rFonts w:eastAsia="Times New Roman"/>
          <w:b/>
          <w:iCs/>
          <w:szCs w:val="24"/>
        </w:rPr>
        <w:t>Dámóczi</w:t>
      </w:r>
      <w:proofErr w:type="spellEnd"/>
      <w:r>
        <w:rPr>
          <w:rFonts w:eastAsia="Times New Roman"/>
          <w:b/>
          <w:iCs/>
          <w:szCs w:val="24"/>
        </w:rPr>
        <w:t xml:space="preserve"> Attila Miklós    képviselő</w:t>
      </w: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color w:val="000000"/>
          <w:szCs w:val="24"/>
        </w:rPr>
      </w:pP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color w:val="000000"/>
          <w:szCs w:val="24"/>
        </w:rPr>
      </w:pP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color w:val="000000"/>
          <w:szCs w:val="24"/>
        </w:rPr>
      </w:pPr>
      <w:r>
        <w:rPr>
          <w:rFonts w:ascii="Times" w:eastAsia="Times New Roman" w:hAnsi="Times" w:cs="Times"/>
          <w:b/>
          <w:bCs/>
          <w:color w:val="000000"/>
          <w:szCs w:val="24"/>
        </w:rPr>
        <w:t xml:space="preserve">2. függelék a 2./2018 (VI.25.) </w:t>
      </w:r>
      <w:proofErr w:type="gramStart"/>
      <w:r>
        <w:rPr>
          <w:rFonts w:ascii="Times" w:eastAsia="Times New Roman" w:hAnsi="Times" w:cs="Times"/>
          <w:b/>
          <w:bCs/>
          <w:color w:val="000000"/>
          <w:szCs w:val="24"/>
        </w:rPr>
        <w:t>önkormányzati  rendelethez</w:t>
      </w:r>
      <w:proofErr w:type="gramEnd"/>
      <w:r>
        <w:rPr>
          <w:rFonts w:ascii="Times" w:eastAsia="Times New Roman" w:hAnsi="Times" w:cs="Times"/>
          <w:b/>
          <w:bCs/>
          <w:color w:val="000000"/>
          <w:szCs w:val="24"/>
        </w:rPr>
        <w:t xml:space="preserve"> </w:t>
      </w: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i/>
          <w:color w:val="000000"/>
          <w:szCs w:val="24"/>
        </w:rPr>
      </w:pPr>
    </w:p>
    <w:p w:rsidR="001B5BD8" w:rsidRDefault="001B5BD8" w:rsidP="001B5BD8">
      <w:pPr>
        <w:widowControl/>
        <w:suppressAutoHyphens w:val="0"/>
        <w:ind w:right="150"/>
        <w:jc w:val="center"/>
        <w:rPr>
          <w:rFonts w:ascii="Times" w:eastAsia="Times New Roman" w:hAnsi="Times" w:cs="Times"/>
          <w:b/>
          <w:bCs/>
          <w:i/>
          <w:color w:val="000000"/>
          <w:sz w:val="28"/>
          <w:szCs w:val="28"/>
        </w:rPr>
      </w:pPr>
      <w:r>
        <w:rPr>
          <w:rFonts w:ascii="Times" w:eastAsia="Times New Roman" w:hAnsi="Times" w:cs="Times"/>
          <w:b/>
          <w:bCs/>
          <w:i/>
          <w:color w:val="000000"/>
          <w:sz w:val="28"/>
          <w:szCs w:val="28"/>
        </w:rPr>
        <w:t>Kormányzati funkció rend</w:t>
      </w: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Cs/>
          <w:i/>
          <w:color w:val="000000"/>
          <w:szCs w:val="24"/>
        </w:rPr>
      </w:pPr>
    </w:p>
    <w:p w:rsidR="001B5BD8" w:rsidRDefault="001B5BD8" w:rsidP="001B5BD8">
      <w:pPr>
        <w:widowControl/>
        <w:suppressAutoHyphens w:val="0"/>
        <w:ind w:right="15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Szakmai alaptevékenységek kormányzati funkciók szerinti megjelölése: </w:t>
      </w: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i/>
          <w:color w:val="000000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011130 Önkormányzatok és önkormányzati hivatalok jogalkotó és általános igazgatási tevékenysége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013320 Köztemető-fenntartás és – működtetés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autoSpaceDE w:val="0"/>
        <w:autoSpaceDN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041231 Rövid időtartamú közfoglalkoztatás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autoSpaceDE w:val="0"/>
        <w:autoSpaceDN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041232 Start-munka program – Téli közfoglalkoztatás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041233 Hosszabb időtartamú közfoglalkoztatás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autoSpaceDE w:val="0"/>
        <w:autoSpaceDN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041237 Közfoglalkoztatási mintaprogram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045160 Közutak, hidak, alagutak üzemeltetése, fenntartása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051030 Nem veszélyes (települési) hulladék vegyes (ömlesztett) begyűjtése, szállítása, átrakása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052020 Szennyvíz gyűjtése, tisztítása, elhelyezése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063020 Víztermelés, - kezelés, - ellátás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064010 Közvilágítás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066020 Város-, községgazdálkodási egyéb szolgáltatások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072111 Háziorvosi alapellátás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>082042 Könyvtári állomány gyarapítása, nyilvántartása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082044 Könyvtári szolgáltatások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082091 Közművelődés – közösségi és társadalmi részvétel fejlesztése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082092 Közművelődés – hagyományos közösségi kulturális értékek gondozása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104037 Intézményen kívüli gyermekétkeztetés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106020 Lakásfenntartással, lakhatással összefüggő ellátások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107051 Szociális étkeztetés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107055 Falugondnoki, tanyagondnoki szolgáltatás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ind w:right="150"/>
        <w:rPr>
          <w:rFonts w:ascii="Times" w:eastAsia="Times New Roman" w:hAnsi="Times" w:cs="Times"/>
          <w:b/>
          <w:bCs/>
          <w:color w:val="000000"/>
          <w:szCs w:val="24"/>
        </w:rPr>
      </w:pPr>
      <w:r>
        <w:rPr>
          <w:rFonts w:ascii="Times" w:eastAsia="Times New Roman" w:hAnsi="Times" w:cs="Times"/>
          <w:b/>
          <w:bCs/>
          <w:color w:val="000000"/>
          <w:szCs w:val="24"/>
        </w:rPr>
        <w:t xml:space="preserve">3. függelék a 2./2018 (VI.25.) </w:t>
      </w:r>
      <w:proofErr w:type="gramStart"/>
      <w:r>
        <w:rPr>
          <w:rFonts w:ascii="Times" w:eastAsia="Times New Roman" w:hAnsi="Times" w:cs="Times"/>
          <w:b/>
          <w:bCs/>
          <w:color w:val="000000"/>
          <w:szCs w:val="24"/>
        </w:rPr>
        <w:t>önkormányzati  rendelethez</w:t>
      </w:r>
      <w:proofErr w:type="gramEnd"/>
      <w:r>
        <w:rPr>
          <w:rFonts w:ascii="Times" w:eastAsia="Times New Roman" w:hAnsi="Times" w:cs="Times"/>
          <w:b/>
          <w:bCs/>
          <w:color w:val="000000"/>
          <w:szCs w:val="24"/>
        </w:rPr>
        <w:t xml:space="preserve"> 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i/>
          <w:iCs/>
          <w:szCs w:val="24"/>
        </w:rPr>
      </w:pPr>
      <w:r>
        <w:rPr>
          <w:rFonts w:eastAsia="Times New Roman"/>
          <w:i/>
          <w:iCs/>
          <w:szCs w:val="24"/>
        </w:rPr>
        <w:t>Az Önkormányzat által fenntartott intézmények és az Önkormányzat részvételével működő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i/>
          <w:iCs/>
          <w:szCs w:val="24"/>
        </w:rPr>
        <w:t xml:space="preserve">önkormányzati társulások felsorolása </w:t>
      </w:r>
    </w:p>
    <w:p w:rsidR="001B5BD8" w:rsidRDefault="001B5BD8" w:rsidP="001B5BD8">
      <w:pPr>
        <w:widowControl/>
        <w:suppressAutoHyphens w:val="0"/>
        <w:jc w:val="center"/>
        <w:rPr>
          <w:rFonts w:eastAsia="Times New Roman"/>
          <w:i/>
          <w:iCs/>
          <w:szCs w:val="24"/>
        </w:rPr>
      </w:pPr>
    </w:p>
    <w:p w:rsidR="001B5BD8" w:rsidRDefault="001B5BD8" w:rsidP="001B5BD8">
      <w:pPr>
        <w:widowControl/>
        <w:suppressAutoHyphens w:val="0"/>
        <w:jc w:val="center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A) </w:t>
      </w:r>
      <w:r>
        <w:rPr>
          <w:rFonts w:eastAsia="Times New Roman"/>
          <w:i/>
          <w:iCs/>
          <w:szCs w:val="24"/>
        </w:rPr>
        <w:t>Önkormányzat által fenntartott intézmények:</w:t>
      </w:r>
    </w:p>
    <w:p w:rsidR="001B5BD8" w:rsidRDefault="001B5BD8" w:rsidP="001B5BD8">
      <w:pPr>
        <w:widowControl/>
        <w:suppressAutoHyphens w:val="0"/>
        <w:rPr>
          <w:rFonts w:eastAsia="Times New Roman"/>
          <w:i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Perkupai Közös Önkormányzati Hivatal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  <w:u w:val="single"/>
        </w:rPr>
      </w:pPr>
      <w:r>
        <w:rPr>
          <w:rFonts w:eastAsia="Times New Roman"/>
          <w:i/>
          <w:iCs/>
          <w:szCs w:val="24"/>
          <w:u w:val="single"/>
        </w:rPr>
        <w:t xml:space="preserve">B) Az Önkormányzat részvételével működő önkormányzati </w:t>
      </w:r>
      <w:proofErr w:type="gramStart"/>
      <w:r>
        <w:rPr>
          <w:rFonts w:eastAsia="Times New Roman"/>
          <w:i/>
          <w:iCs/>
          <w:szCs w:val="24"/>
          <w:u w:val="single"/>
        </w:rPr>
        <w:t>társulások :</w:t>
      </w:r>
      <w:proofErr w:type="gramEnd"/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b/>
          <w:iCs/>
          <w:szCs w:val="24"/>
        </w:rPr>
      </w:pPr>
      <w:r>
        <w:rPr>
          <w:rFonts w:eastAsia="Times New Roman"/>
          <w:b/>
          <w:iCs/>
          <w:szCs w:val="24"/>
        </w:rPr>
        <w:t>1. Edelény Kistérség Többcélú Társulás</w:t>
      </w:r>
    </w:p>
    <w:p w:rsidR="001B5BD8" w:rsidRDefault="001B5BD8" w:rsidP="001B5BD8">
      <w:pPr>
        <w:widowControl/>
        <w:suppressAutoHyphens w:val="0"/>
        <w:rPr>
          <w:rFonts w:eastAsia="Times New Roman"/>
          <w:b/>
          <w:szCs w:val="24"/>
        </w:rPr>
      </w:pPr>
      <w:r>
        <w:rPr>
          <w:rFonts w:eastAsia="Times New Roman"/>
          <w:b/>
          <w:iCs/>
          <w:szCs w:val="24"/>
        </w:rPr>
        <w:t xml:space="preserve">2. Sajó-Bódva Völgy és </w:t>
      </w:r>
      <w:proofErr w:type="gramStart"/>
      <w:r>
        <w:rPr>
          <w:rFonts w:eastAsia="Times New Roman"/>
          <w:b/>
          <w:iCs/>
          <w:szCs w:val="24"/>
        </w:rPr>
        <w:t>Környéke  Hulladékkezelési</w:t>
      </w:r>
      <w:proofErr w:type="gramEnd"/>
      <w:r>
        <w:rPr>
          <w:rFonts w:eastAsia="Times New Roman"/>
          <w:b/>
          <w:iCs/>
          <w:szCs w:val="24"/>
        </w:rPr>
        <w:t xml:space="preserve"> Önkormányzati  Társulás</w:t>
      </w: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 w:rsidP="001B5BD8">
      <w:pPr>
        <w:widowControl/>
        <w:suppressAutoHyphens w:val="0"/>
        <w:rPr>
          <w:rFonts w:eastAsia="Times New Roman"/>
          <w:szCs w:val="24"/>
        </w:rPr>
      </w:pPr>
    </w:p>
    <w:p w:rsidR="001B5BD8" w:rsidRDefault="001B5BD8">
      <w:bookmarkStart w:id="0" w:name="_GoBack"/>
      <w:bookmarkEnd w:id="0"/>
    </w:p>
    <w:sectPr w:rsidR="001B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D8"/>
    <w:rsid w:val="001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A853-56B8-40D9-BFD0-11D16CE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5B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2019-06-05T07:23:00Z</dcterms:created>
  <dcterms:modified xsi:type="dcterms:W3CDTF">2019-06-05T07:24:00Z</dcterms:modified>
</cp:coreProperties>
</file>